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36F2A" w14:textId="4C9C5C5E" w:rsidR="0065571D" w:rsidRPr="006F4CC7" w:rsidRDefault="0065571D" w:rsidP="0065571D">
      <w:pPr>
        <w:suppressAutoHyphens/>
        <w:spacing w:after="0" w:line="240" w:lineRule="auto"/>
        <w:ind w:left="540"/>
        <w:rPr>
          <w:rFonts w:ascii="Arial" w:eastAsia="Times New Roman" w:hAnsi="Arial" w:cs="Arial"/>
          <w:b/>
          <w:bCs/>
          <w:color w:val="000000"/>
          <w:szCs w:val="22"/>
        </w:rPr>
      </w:pPr>
      <w:r w:rsidRPr="006F4CC7">
        <w:rPr>
          <w:rFonts w:ascii="Arial" w:eastAsia="Times New Roman" w:hAnsi="Arial" w:cs="Arial"/>
          <w:b/>
          <w:bCs/>
          <w:color w:val="000000"/>
          <w:szCs w:val="22"/>
        </w:rPr>
        <w:t>PRIME ROAD POWER PUBLIC COMPANY LIMITED</w:t>
      </w:r>
    </w:p>
    <w:p w14:paraId="481C6571" w14:textId="77777777" w:rsidR="0065571D" w:rsidRPr="006F4CC7" w:rsidRDefault="0065571D" w:rsidP="0065571D">
      <w:pPr>
        <w:suppressAutoHyphens/>
        <w:spacing w:after="0" w:line="240" w:lineRule="auto"/>
        <w:ind w:left="540"/>
        <w:rPr>
          <w:rFonts w:ascii="Arial" w:hAnsi="Arial" w:cs="Arial"/>
          <w:b/>
          <w:bCs/>
          <w:color w:val="000000"/>
          <w:szCs w:val="22"/>
        </w:rPr>
      </w:pPr>
    </w:p>
    <w:p w14:paraId="046C68F6" w14:textId="77777777" w:rsidR="0065571D" w:rsidRPr="006F4CC7" w:rsidRDefault="0065571D" w:rsidP="0065571D">
      <w:pPr>
        <w:keepNext/>
        <w:spacing w:after="0" w:line="240" w:lineRule="auto"/>
        <w:ind w:left="540"/>
        <w:rPr>
          <w:rFonts w:ascii="Arial" w:hAnsi="Arial" w:cs="Arial"/>
          <w:b/>
          <w:bCs/>
          <w:color w:val="000000"/>
          <w:szCs w:val="22"/>
        </w:rPr>
      </w:pPr>
    </w:p>
    <w:p w14:paraId="4E034EBA" w14:textId="77777777" w:rsidR="0065571D" w:rsidRPr="006F4CC7" w:rsidRDefault="0065571D" w:rsidP="0065571D">
      <w:pPr>
        <w:keepNext/>
        <w:spacing w:after="0" w:line="240" w:lineRule="auto"/>
        <w:ind w:left="540"/>
        <w:rPr>
          <w:rFonts w:ascii="Arial" w:hAnsi="Arial" w:cs="Arial"/>
          <w:b/>
          <w:bCs/>
          <w:color w:val="000000"/>
          <w:szCs w:val="22"/>
        </w:rPr>
      </w:pPr>
      <w:r w:rsidRPr="006F4CC7">
        <w:rPr>
          <w:rFonts w:ascii="Arial" w:hAnsi="Arial" w:cs="Arial"/>
          <w:b/>
          <w:bCs/>
          <w:color w:val="000000"/>
          <w:szCs w:val="22"/>
        </w:rPr>
        <w:t>CONSOLIDATED AND SEPARATE FINANCIAL STATEMENTS</w:t>
      </w:r>
    </w:p>
    <w:p w14:paraId="6FF01999" w14:textId="77777777" w:rsidR="0065571D" w:rsidRPr="006F4CC7" w:rsidRDefault="0065571D" w:rsidP="0065571D">
      <w:pPr>
        <w:suppressAutoHyphens/>
        <w:spacing w:after="0" w:line="240" w:lineRule="auto"/>
        <w:ind w:left="540"/>
        <w:rPr>
          <w:rFonts w:ascii="Arial" w:hAnsi="Arial" w:cs="Arial"/>
          <w:b/>
          <w:bCs/>
          <w:color w:val="000000"/>
          <w:szCs w:val="22"/>
        </w:rPr>
      </w:pPr>
    </w:p>
    <w:p w14:paraId="6912EF3A" w14:textId="77777777" w:rsidR="0065571D" w:rsidRPr="006F4CC7" w:rsidRDefault="0065571D" w:rsidP="0065571D">
      <w:pPr>
        <w:suppressAutoHyphens/>
        <w:spacing w:after="0" w:line="240" w:lineRule="auto"/>
        <w:ind w:left="540"/>
        <w:rPr>
          <w:rFonts w:ascii="Arial" w:hAnsi="Arial" w:cs="Arial"/>
          <w:b/>
          <w:bCs/>
          <w:color w:val="000000"/>
          <w:szCs w:val="22"/>
        </w:rPr>
      </w:pPr>
      <w:r w:rsidRPr="006F4CC7">
        <w:rPr>
          <w:rFonts w:ascii="Arial" w:hAnsi="Arial" w:cs="Arial"/>
          <w:b/>
          <w:bCs/>
          <w:color w:val="000000"/>
          <w:szCs w:val="22"/>
        </w:rPr>
        <w:t>31 DECEMBER 2024</w:t>
      </w:r>
    </w:p>
    <w:p w14:paraId="21DDD134" w14:textId="77777777" w:rsidR="00DD700A" w:rsidRDefault="00DD700A" w:rsidP="003A5889">
      <w:pPr>
        <w:pStyle w:val="Default"/>
        <w:rPr>
          <w:rFonts w:eastAsia="Calibri"/>
          <w:b/>
          <w:bCs/>
          <w:sz w:val="22"/>
          <w:szCs w:val="22"/>
        </w:rPr>
        <w:sectPr w:rsidR="00DD700A" w:rsidSect="00DD700A">
          <w:headerReference w:type="default" r:id="rId8"/>
          <w:pgSz w:w="11909" w:h="16834" w:code="9"/>
          <w:pgMar w:top="4179" w:right="2880" w:bottom="7201" w:left="1797" w:header="709" w:footer="709" w:gutter="0"/>
          <w:cols w:space="708"/>
          <w:docGrid w:linePitch="360"/>
        </w:sectPr>
      </w:pPr>
    </w:p>
    <w:p w14:paraId="13D53D58" w14:textId="55AF7661" w:rsidR="003A5889" w:rsidRPr="006F4CC7" w:rsidRDefault="003A5889" w:rsidP="003A5889">
      <w:pPr>
        <w:pStyle w:val="Default"/>
        <w:rPr>
          <w:rFonts w:eastAsia="Calibri"/>
          <w:b/>
          <w:bCs/>
          <w:sz w:val="22"/>
          <w:szCs w:val="22"/>
        </w:rPr>
      </w:pPr>
      <w:r w:rsidRPr="006F4CC7">
        <w:rPr>
          <w:rFonts w:eastAsia="Calibri"/>
          <w:b/>
          <w:bCs/>
          <w:sz w:val="22"/>
          <w:szCs w:val="22"/>
        </w:rPr>
        <w:lastRenderedPageBreak/>
        <w:t xml:space="preserve">Independent Auditor’s Report </w:t>
      </w:r>
    </w:p>
    <w:p w14:paraId="769F0326" w14:textId="77777777" w:rsidR="003A5889" w:rsidRPr="006F4CC7" w:rsidRDefault="003A5889" w:rsidP="003A5889">
      <w:pPr>
        <w:pStyle w:val="Default"/>
        <w:rPr>
          <w:sz w:val="20"/>
          <w:szCs w:val="20"/>
        </w:rPr>
      </w:pPr>
    </w:p>
    <w:p w14:paraId="4D48D31F" w14:textId="77777777" w:rsidR="003A5889" w:rsidRPr="006F4CC7" w:rsidRDefault="003A5889" w:rsidP="003A5889">
      <w:pPr>
        <w:pStyle w:val="Default"/>
        <w:rPr>
          <w:sz w:val="20"/>
          <w:szCs w:val="20"/>
        </w:rPr>
      </w:pPr>
    </w:p>
    <w:p w14:paraId="7DD83216" w14:textId="77777777" w:rsidR="003A5889" w:rsidRPr="006F4CC7" w:rsidRDefault="003A5889" w:rsidP="003A5889">
      <w:pPr>
        <w:pStyle w:val="Default"/>
        <w:jc w:val="both"/>
        <w:rPr>
          <w:rFonts w:eastAsia="Calibri"/>
          <w:sz w:val="20"/>
          <w:szCs w:val="20"/>
        </w:rPr>
      </w:pPr>
      <w:r w:rsidRPr="006F4CC7">
        <w:rPr>
          <w:rFonts w:eastAsia="Calibri"/>
          <w:sz w:val="20"/>
          <w:szCs w:val="20"/>
        </w:rPr>
        <w:t xml:space="preserve">To the Shareholders of Prime Road Power Public Company Limited  </w:t>
      </w:r>
    </w:p>
    <w:p w14:paraId="6A06706C" w14:textId="77777777" w:rsidR="003A5889" w:rsidRPr="006F4CC7" w:rsidRDefault="003A5889" w:rsidP="003A5889">
      <w:pPr>
        <w:pStyle w:val="Default"/>
        <w:rPr>
          <w:b/>
          <w:bCs/>
          <w:sz w:val="20"/>
          <w:szCs w:val="20"/>
        </w:rPr>
      </w:pPr>
    </w:p>
    <w:p w14:paraId="1413D7F2" w14:textId="77777777" w:rsidR="003A5889" w:rsidRPr="006F4CC7" w:rsidRDefault="003A5889" w:rsidP="003A5889">
      <w:pPr>
        <w:pStyle w:val="Default"/>
        <w:jc w:val="thaiDistribute"/>
        <w:rPr>
          <w:rFonts w:eastAsia="Calibri"/>
          <w:b/>
          <w:bCs/>
          <w:sz w:val="20"/>
          <w:szCs w:val="20"/>
        </w:rPr>
      </w:pPr>
    </w:p>
    <w:p w14:paraId="58502A4A" w14:textId="77777777" w:rsidR="003A5889" w:rsidRPr="006F4CC7" w:rsidRDefault="003A5889" w:rsidP="003A5889">
      <w:pPr>
        <w:pStyle w:val="Default"/>
        <w:jc w:val="thaiDistribute"/>
        <w:rPr>
          <w:rFonts w:eastAsia="Calibri"/>
          <w:b/>
          <w:bCs/>
          <w:sz w:val="20"/>
          <w:szCs w:val="20"/>
        </w:rPr>
      </w:pPr>
      <w:r>
        <w:rPr>
          <w:rFonts w:eastAsia="Calibri" w:cs="Browallia New"/>
          <w:b/>
          <w:bCs/>
          <w:sz w:val="20"/>
          <w:szCs w:val="25"/>
        </w:rPr>
        <w:t>Qualified</w:t>
      </w:r>
      <w:r w:rsidRPr="006F4CC7">
        <w:rPr>
          <w:rFonts w:eastAsia="Calibri"/>
          <w:b/>
          <w:bCs/>
          <w:sz w:val="20"/>
          <w:szCs w:val="20"/>
        </w:rPr>
        <w:t xml:space="preserve"> opinion </w:t>
      </w:r>
    </w:p>
    <w:p w14:paraId="16734EBF" w14:textId="77777777" w:rsidR="003A5889" w:rsidRPr="006F4CC7" w:rsidRDefault="003A5889" w:rsidP="003A5889">
      <w:pPr>
        <w:pStyle w:val="Default"/>
        <w:jc w:val="thaiDistribute"/>
        <w:rPr>
          <w:rFonts w:eastAsia="Calibri"/>
          <w:b/>
          <w:bCs/>
          <w:sz w:val="12"/>
          <w:szCs w:val="12"/>
        </w:rPr>
      </w:pPr>
    </w:p>
    <w:p w14:paraId="60A0C482" w14:textId="383A42A9" w:rsidR="003A5889" w:rsidRPr="006F4CC7" w:rsidRDefault="003A5889" w:rsidP="003A5889">
      <w:pPr>
        <w:pStyle w:val="Default"/>
        <w:jc w:val="thaiDistribute"/>
        <w:rPr>
          <w:spacing w:val="-6"/>
          <w:sz w:val="20"/>
          <w:szCs w:val="20"/>
        </w:rPr>
      </w:pPr>
      <w:r>
        <w:rPr>
          <w:sz w:val="20"/>
          <w:szCs w:val="20"/>
        </w:rPr>
        <w:t>I</w:t>
      </w:r>
      <w:r w:rsidRPr="006F4CC7">
        <w:rPr>
          <w:sz w:val="20"/>
          <w:szCs w:val="20"/>
        </w:rPr>
        <w:t xml:space="preserve">n my opinion, </w:t>
      </w:r>
      <w:r>
        <w:rPr>
          <w:sz w:val="20"/>
          <w:szCs w:val="20"/>
        </w:rPr>
        <w:t>e</w:t>
      </w:r>
      <w:r w:rsidRPr="00290A85">
        <w:rPr>
          <w:sz w:val="20"/>
          <w:szCs w:val="20"/>
        </w:rPr>
        <w:t xml:space="preserve">xcept </w:t>
      </w:r>
      <w:r>
        <w:rPr>
          <w:sz w:val="20"/>
          <w:szCs w:val="20"/>
        </w:rPr>
        <w:t xml:space="preserve">for the possible effects </w:t>
      </w:r>
      <w:r w:rsidR="003004B0">
        <w:rPr>
          <w:rFonts w:cs="Browallia New"/>
          <w:sz w:val="20"/>
          <w:szCs w:val="25"/>
          <w:lang w:val="en-US"/>
        </w:rPr>
        <w:t>of matters</w:t>
      </w:r>
      <w:r w:rsidRPr="00290A85">
        <w:rPr>
          <w:sz w:val="20"/>
          <w:szCs w:val="20"/>
        </w:rPr>
        <w:t xml:space="preserve"> </w:t>
      </w:r>
      <w:r>
        <w:rPr>
          <w:sz w:val="20"/>
          <w:szCs w:val="20"/>
        </w:rPr>
        <w:t>describ</w:t>
      </w:r>
      <w:r w:rsidRPr="00290A85">
        <w:rPr>
          <w:sz w:val="20"/>
          <w:szCs w:val="20"/>
        </w:rPr>
        <w:t xml:space="preserve">ed in the </w:t>
      </w:r>
      <w:r>
        <w:rPr>
          <w:sz w:val="20"/>
          <w:szCs w:val="20"/>
        </w:rPr>
        <w:t>basis for qualified opinion section</w:t>
      </w:r>
      <w:r w:rsidRPr="00290A85">
        <w:rPr>
          <w:sz w:val="20"/>
          <w:szCs w:val="20"/>
        </w:rPr>
        <w:t xml:space="preserve"> </w:t>
      </w:r>
      <w:r>
        <w:rPr>
          <w:sz w:val="20"/>
          <w:szCs w:val="20"/>
        </w:rPr>
        <w:t>of my report,</w:t>
      </w:r>
      <w:r w:rsidRPr="006F4CC7">
        <w:rPr>
          <w:sz w:val="20"/>
          <w:szCs w:val="20"/>
        </w:rPr>
        <w:t xml:space="preserve"> the consolidated financial statements</w:t>
      </w:r>
      <w:r w:rsidRPr="006F4CC7">
        <w:rPr>
          <w:sz w:val="20"/>
          <w:szCs w:val="20"/>
          <w:cs/>
        </w:rPr>
        <w:t xml:space="preserve"> </w:t>
      </w:r>
      <w:r w:rsidRPr="006F4CC7">
        <w:rPr>
          <w:sz w:val="20"/>
          <w:szCs w:val="20"/>
        </w:rPr>
        <w:t>and the separate financial statements present fairly, in all material respects, the consolidated financial position of Prime Road Power Public Company Limited (the Company) and its subsidiaries (the Group) and separate financial position of the Company as at</w:t>
      </w:r>
      <w:r>
        <w:rPr>
          <w:sz w:val="20"/>
          <w:szCs w:val="20"/>
        </w:rPr>
        <w:t xml:space="preserve"> </w:t>
      </w:r>
      <w:r w:rsidRPr="006F4CC7">
        <w:rPr>
          <w:sz w:val="20"/>
          <w:szCs w:val="20"/>
        </w:rPr>
        <w:t xml:space="preserve">31 December 2024, and </w:t>
      </w:r>
      <w:proofErr w:type="spellStart"/>
      <w:r w:rsidRPr="006F4CC7">
        <w:rPr>
          <w:sz w:val="20"/>
          <w:szCs w:val="20"/>
        </w:rPr>
        <w:t>its</w:t>
      </w:r>
      <w:proofErr w:type="spellEnd"/>
      <w:r w:rsidRPr="006F4CC7">
        <w:rPr>
          <w:sz w:val="20"/>
          <w:szCs w:val="20"/>
        </w:rPr>
        <w:t xml:space="preserve"> the consolidated and separate financial performance and the consolidated </w:t>
      </w:r>
      <w:r w:rsidRPr="006F4CC7">
        <w:rPr>
          <w:spacing w:val="-6"/>
          <w:sz w:val="20"/>
          <w:szCs w:val="20"/>
        </w:rPr>
        <w:t xml:space="preserve">and separate cash flows for the year then ended in accordance with Thai Financial Reporting Standards (TFRS). </w:t>
      </w:r>
    </w:p>
    <w:p w14:paraId="129FA83D" w14:textId="77777777" w:rsidR="003A5889" w:rsidRPr="006F4CC7" w:rsidRDefault="003A5889" w:rsidP="003A5889">
      <w:pPr>
        <w:pStyle w:val="Default"/>
        <w:jc w:val="thaiDistribute"/>
        <w:rPr>
          <w:b/>
          <w:bCs/>
          <w:sz w:val="20"/>
          <w:szCs w:val="20"/>
        </w:rPr>
      </w:pPr>
    </w:p>
    <w:p w14:paraId="1205ED0D" w14:textId="77777777" w:rsidR="003A5889" w:rsidRPr="006F4CC7" w:rsidRDefault="003A5889" w:rsidP="003A5889">
      <w:pPr>
        <w:pStyle w:val="Default"/>
        <w:jc w:val="thaiDistribute"/>
        <w:rPr>
          <w:rFonts w:eastAsia="Calibri"/>
          <w:b/>
          <w:bCs/>
          <w:sz w:val="20"/>
          <w:szCs w:val="20"/>
        </w:rPr>
      </w:pPr>
      <w:r w:rsidRPr="006F4CC7">
        <w:rPr>
          <w:rFonts w:eastAsia="Calibri"/>
          <w:b/>
          <w:bCs/>
          <w:sz w:val="20"/>
          <w:szCs w:val="20"/>
        </w:rPr>
        <w:t>What I have audited</w:t>
      </w:r>
    </w:p>
    <w:p w14:paraId="0863CABE" w14:textId="77777777" w:rsidR="003A5889" w:rsidRPr="006F4CC7" w:rsidRDefault="003A5889" w:rsidP="003A5889">
      <w:pPr>
        <w:pStyle w:val="Default"/>
        <w:jc w:val="thaiDistribute"/>
        <w:rPr>
          <w:rFonts w:eastAsia="Calibri"/>
          <w:b/>
          <w:bCs/>
          <w:sz w:val="12"/>
          <w:szCs w:val="12"/>
        </w:rPr>
      </w:pPr>
    </w:p>
    <w:p w14:paraId="77658548" w14:textId="77777777" w:rsidR="003A5889" w:rsidRPr="006F4CC7" w:rsidRDefault="003A5889" w:rsidP="003A5889">
      <w:pPr>
        <w:pStyle w:val="Default"/>
        <w:jc w:val="thaiDistribute"/>
        <w:rPr>
          <w:sz w:val="20"/>
          <w:szCs w:val="20"/>
        </w:rPr>
      </w:pPr>
      <w:r w:rsidRPr="006F4CC7">
        <w:rPr>
          <w:sz w:val="20"/>
          <w:szCs w:val="20"/>
        </w:rPr>
        <w:t>The consolidated financial statements and the separate financial statements comprise:</w:t>
      </w:r>
    </w:p>
    <w:p w14:paraId="0CB70615" w14:textId="77777777" w:rsidR="003A5889" w:rsidRPr="006F4CC7" w:rsidRDefault="003A5889" w:rsidP="003A5889">
      <w:pPr>
        <w:pStyle w:val="Default"/>
        <w:jc w:val="thaiDistribute"/>
        <w:rPr>
          <w:sz w:val="12"/>
          <w:szCs w:val="12"/>
        </w:rPr>
      </w:pPr>
    </w:p>
    <w:p w14:paraId="64710EE5" w14:textId="77777777" w:rsidR="003A5889" w:rsidRPr="006F4CC7" w:rsidRDefault="003A5889" w:rsidP="003A5889">
      <w:pPr>
        <w:pStyle w:val="Default"/>
        <w:numPr>
          <w:ilvl w:val="0"/>
          <w:numId w:val="5"/>
        </w:numPr>
        <w:ind w:left="540"/>
        <w:jc w:val="thaiDistribute"/>
        <w:rPr>
          <w:sz w:val="20"/>
          <w:szCs w:val="20"/>
        </w:rPr>
      </w:pPr>
      <w:r w:rsidRPr="006F4CC7">
        <w:rPr>
          <w:sz w:val="20"/>
          <w:szCs w:val="20"/>
        </w:rPr>
        <w:t xml:space="preserve">the consolidated and separate statements of financial position as </w:t>
      </w:r>
      <w:proofErr w:type="gramStart"/>
      <w:r w:rsidRPr="006F4CC7">
        <w:rPr>
          <w:sz w:val="20"/>
          <w:szCs w:val="20"/>
        </w:rPr>
        <w:t>at</w:t>
      </w:r>
      <w:proofErr w:type="gramEnd"/>
      <w:r w:rsidRPr="006F4CC7">
        <w:rPr>
          <w:sz w:val="20"/>
          <w:szCs w:val="20"/>
        </w:rPr>
        <w:t xml:space="preserve"> 31 December 2024;</w:t>
      </w:r>
    </w:p>
    <w:p w14:paraId="60555B07" w14:textId="77777777" w:rsidR="003A5889" w:rsidRPr="006F4CC7" w:rsidRDefault="003A5889" w:rsidP="003A5889">
      <w:pPr>
        <w:pStyle w:val="Default"/>
        <w:numPr>
          <w:ilvl w:val="0"/>
          <w:numId w:val="5"/>
        </w:numPr>
        <w:ind w:left="540"/>
        <w:jc w:val="thaiDistribute"/>
        <w:rPr>
          <w:sz w:val="20"/>
          <w:szCs w:val="20"/>
        </w:rPr>
      </w:pPr>
      <w:r w:rsidRPr="006F4CC7">
        <w:rPr>
          <w:sz w:val="20"/>
          <w:szCs w:val="20"/>
        </w:rPr>
        <w:t xml:space="preserve">the consolidated and separate statements of comprehensive income for the year then </w:t>
      </w:r>
      <w:proofErr w:type="gramStart"/>
      <w:r w:rsidRPr="006F4CC7">
        <w:rPr>
          <w:sz w:val="20"/>
          <w:szCs w:val="20"/>
        </w:rPr>
        <w:t>ended;</w:t>
      </w:r>
      <w:proofErr w:type="gramEnd"/>
    </w:p>
    <w:p w14:paraId="459214B4" w14:textId="77777777" w:rsidR="003A5889" w:rsidRPr="006F4CC7" w:rsidRDefault="003A5889" w:rsidP="003A5889">
      <w:pPr>
        <w:pStyle w:val="Default"/>
        <w:numPr>
          <w:ilvl w:val="0"/>
          <w:numId w:val="5"/>
        </w:numPr>
        <w:ind w:left="540"/>
        <w:jc w:val="thaiDistribute"/>
        <w:rPr>
          <w:sz w:val="20"/>
          <w:szCs w:val="20"/>
        </w:rPr>
      </w:pPr>
      <w:r w:rsidRPr="006F4CC7">
        <w:rPr>
          <w:sz w:val="20"/>
          <w:szCs w:val="20"/>
        </w:rPr>
        <w:t xml:space="preserve">the consolidated and separate statements of changes in equity for the year then </w:t>
      </w:r>
      <w:proofErr w:type="gramStart"/>
      <w:r w:rsidRPr="006F4CC7">
        <w:rPr>
          <w:sz w:val="20"/>
          <w:szCs w:val="20"/>
        </w:rPr>
        <w:t>ended;</w:t>
      </w:r>
      <w:proofErr w:type="gramEnd"/>
    </w:p>
    <w:p w14:paraId="10310C38" w14:textId="77777777" w:rsidR="003A5889" w:rsidRPr="006F4CC7" w:rsidRDefault="003A5889" w:rsidP="003A5889">
      <w:pPr>
        <w:pStyle w:val="Default"/>
        <w:numPr>
          <w:ilvl w:val="0"/>
          <w:numId w:val="5"/>
        </w:numPr>
        <w:ind w:left="547"/>
        <w:jc w:val="thaiDistribute"/>
        <w:rPr>
          <w:sz w:val="20"/>
          <w:szCs w:val="20"/>
        </w:rPr>
      </w:pPr>
      <w:r w:rsidRPr="006F4CC7">
        <w:rPr>
          <w:sz w:val="20"/>
          <w:szCs w:val="20"/>
        </w:rPr>
        <w:t>the consolidated and separate statements of cash flows for the year then ended; and</w:t>
      </w:r>
    </w:p>
    <w:p w14:paraId="44AE771E" w14:textId="77777777" w:rsidR="003A5889" w:rsidRPr="006F4CC7" w:rsidRDefault="003A5889" w:rsidP="003A5889">
      <w:pPr>
        <w:pStyle w:val="Default"/>
        <w:numPr>
          <w:ilvl w:val="0"/>
          <w:numId w:val="5"/>
        </w:numPr>
        <w:ind w:left="540"/>
        <w:jc w:val="thaiDistribute"/>
        <w:rPr>
          <w:sz w:val="20"/>
          <w:szCs w:val="20"/>
        </w:rPr>
      </w:pPr>
      <w:r w:rsidRPr="006F4CC7">
        <w:rPr>
          <w:spacing w:val="-2"/>
          <w:sz w:val="20"/>
          <w:szCs w:val="20"/>
        </w:rPr>
        <w:t xml:space="preserve">the notes to the consolidated and separate financial statements, which include </w:t>
      </w:r>
      <w:r>
        <w:rPr>
          <w:spacing w:val="-2"/>
          <w:sz w:val="20"/>
          <w:szCs w:val="20"/>
        </w:rPr>
        <w:t>material</w:t>
      </w:r>
      <w:r w:rsidRPr="006F4CC7">
        <w:rPr>
          <w:spacing w:val="-2"/>
          <w:sz w:val="20"/>
          <w:szCs w:val="20"/>
        </w:rPr>
        <w:t xml:space="preserve"> accounting</w:t>
      </w:r>
      <w:r w:rsidRPr="006F4CC7">
        <w:rPr>
          <w:sz w:val="20"/>
          <w:szCs w:val="20"/>
        </w:rPr>
        <w:t xml:space="preserve"> policies and other explanatory information. </w:t>
      </w:r>
    </w:p>
    <w:p w14:paraId="0617B9F3" w14:textId="77777777" w:rsidR="003A5889" w:rsidRPr="006F4CC7" w:rsidRDefault="003A5889" w:rsidP="003A5889">
      <w:pPr>
        <w:pStyle w:val="Default"/>
        <w:jc w:val="thaiDistribute"/>
        <w:rPr>
          <w:b/>
          <w:bCs/>
          <w:sz w:val="20"/>
          <w:szCs w:val="20"/>
        </w:rPr>
      </w:pPr>
    </w:p>
    <w:p w14:paraId="574557B2" w14:textId="4D900916" w:rsidR="003A5889" w:rsidRDefault="003A5889" w:rsidP="003A5889">
      <w:pPr>
        <w:pStyle w:val="Default"/>
        <w:jc w:val="thaiDistribute"/>
        <w:rPr>
          <w:rFonts w:eastAsia="Calibri"/>
          <w:b/>
          <w:bCs/>
          <w:sz w:val="20"/>
          <w:szCs w:val="20"/>
        </w:rPr>
      </w:pPr>
      <w:r w:rsidRPr="00D643D5">
        <w:rPr>
          <w:rFonts w:eastAsia="Calibri"/>
          <w:b/>
          <w:bCs/>
          <w:sz w:val="20"/>
          <w:szCs w:val="20"/>
        </w:rPr>
        <w:t>Basis for qualified opinion</w:t>
      </w:r>
    </w:p>
    <w:p w14:paraId="1A423F41" w14:textId="77777777" w:rsidR="003A5889" w:rsidRDefault="003A5889" w:rsidP="003A5889">
      <w:pPr>
        <w:pStyle w:val="Default"/>
        <w:jc w:val="thaiDistribute"/>
        <w:rPr>
          <w:rFonts w:eastAsia="Calibri"/>
          <w:b/>
          <w:bCs/>
          <w:sz w:val="12"/>
          <w:szCs w:val="12"/>
        </w:rPr>
      </w:pPr>
    </w:p>
    <w:p w14:paraId="5735C26D" w14:textId="77777777" w:rsidR="00572678" w:rsidRDefault="00572678" w:rsidP="003A5889">
      <w:pPr>
        <w:pStyle w:val="Default"/>
        <w:jc w:val="thaiDistribute"/>
        <w:rPr>
          <w:rFonts w:eastAsia="Calibri"/>
          <w:b/>
          <w:bCs/>
          <w:sz w:val="12"/>
          <w:szCs w:val="12"/>
        </w:rPr>
      </w:pPr>
    </w:p>
    <w:p w14:paraId="0DB01AD9" w14:textId="66CF57B5" w:rsidR="00572678" w:rsidRPr="0096025D" w:rsidRDefault="00572678" w:rsidP="00572678">
      <w:pPr>
        <w:autoSpaceDE w:val="0"/>
        <w:autoSpaceDN w:val="0"/>
        <w:adjustRightInd w:val="0"/>
        <w:spacing w:after="0" w:line="240" w:lineRule="auto"/>
        <w:rPr>
          <w:rFonts w:ascii="Arial" w:eastAsia="Calibri" w:hAnsi="Arial" w:cs="Browallia New"/>
          <w:i/>
          <w:iCs/>
          <w:color w:val="000000"/>
          <w:sz w:val="20"/>
          <w:szCs w:val="25"/>
          <w:lang w:val="en-US"/>
        </w:rPr>
      </w:pPr>
      <w:r w:rsidRPr="0096025D">
        <w:rPr>
          <w:rFonts w:ascii="Arial" w:eastAsia="Calibri" w:hAnsi="Arial" w:cs="Arial"/>
          <w:i/>
          <w:iCs/>
          <w:color w:val="000000"/>
          <w:sz w:val="20"/>
          <w:szCs w:val="20"/>
        </w:rPr>
        <w:t xml:space="preserve">Sale of </w:t>
      </w:r>
      <w:r w:rsidRPr="0096025D">
        <w:rPr>
          <w:rFonts w:ascii="Arial" w:eastAsia="Calibri" w:hAnsi="Arial" w:cs="Browallia New"/>
          <w:i/>
          <w:iCs/>
          <w:color w:val="000000"/>
          <w:sz w:val="20"/>
          <w:szCs w:val="25"/>
        </w:rPr>
        <w:t>investment in subsidiaries</w:t>
      </w:r>
      <w:r w:rsidR="00DF779E" w:rsidRPr="0096025D">
        <w:rPr>
          <w:rFonts w:ascii="Arial" w:eastAsia="Calibri" w:hAnsi="Arial" w:cs="Browallia New"/>
          <w:i/>
          <w:iCs/>
          <w:color w:val="000000"/>
          <w:sz w:val="20"/>
          <w:szCs w:val="25"/>
        </w:rPr>
        <w:t xml:space="preserve"> </w:t>
      </w:r>
    </w:p>
    <w:p w14:paraId="069E9B15" w14:textId="77777777" w:rsidR="00572678" w:rsidRDefault="00572678" w:rsidP="003A5889">
      <w:pPr>
        <w:pStyle w:val="Default"/>
        <w:jc w:val="thaiDistribute"/>
        <w:rPr>
          <w:rFonts w:eastAsia="Calibri"/>
          <w:sz w:val="20"/>
          <w:szCs w:val="20"/>
        </w:rPr>
      </w:pPr>
    </w:p>
    <w:p w14:paraId="7A815031" w14:textId="4DABC04C" w:rsidR="003A5889" w:rsidRPr="00867C5E" w:rsidRDefault="00134015" w:rsidP="003A5889">
      <w:pPr>
        <w:pStyle w:val="Default"/>
        <w:jc w:val="thaiDistribute"/>
        <w:rPr>
          <w:rFonts w:eastAsia="Calibri"/>
          <w:color w:val="FF0000"/>
          <w:sz w:val="20"/>
          <w:szCs w:val="20"/>
        </w:rPr>
      </w:pPr>
      <w:r w:rsidRPr="00134015">
        <w:rPr>
          <w:rFonts w:eastAsia="Calibri"/>
          <w:sz w:val="20"/>
          <w:szCs w:val="20"/>
        </w:rPr>
        <w:t>As disclosure in Note 17.1, in</w:t>
      </w:r>
      <w:r w:rsidR="003A5889" w:rsidRPr="0074245B">
        <w:rPr>
          <w:rFonts w:eastAsia="Calibri"/>
          <w:sz w:val="20"/>
          <w:szCs w:val="20"/>
        </w:rPr>
        <w:t xml:space="preserve"> December 2024, Prime Solar Energy (PSE), an indirect subsidiary of the </w:t>
      </w:r>
      <w:r w:rsidR="003A5889">
        <w:rPr>
          <w:rFonts w:eastAsia="Calibri"/>
          <w:sz w:val="20"/>
          <w:szCs w:val="20"/>
        </w:rPr>
        <w:t>C</w:t>
      </w:r>
      <w:r w:rsidR="003A5889" w:rsidRPr="0074245B">
        <w:rPr>
          <w:rFonts w:eastAsia="Calibri"/>
          <w:sz w:val="20"/>
          <w:szCs w:val="20"/>
        </w:rPr>
        <w:t xml:space="preserve">ompany, entered into a </w:t>
      </w:r>
      <w:r w:rsidR="008B3C72" w:rsidRPr="008B3C72">
        <w:rPr>
          <w:rFonts w:eastAsia="Calibri"/>
          <w:sz w:val="20"/>
          <w:szCs w:val="20"/>
        </w:rPr>
        <w:t>share sale and purchase agreement</w:t>
      </w:r>
      <w:r w:rsidR="003A5889" w:rsidRPr="0074245B">
        <w:rPr>
          <w:rFonts w:eastAsia="Calibri"/>
          <w:sz w:val="20"/>
          <w:szCs w:val="20"/>
        </w:rPr>
        <w:t xml:space="preserve"> for its </w:t>
      </w:r>
      <w:r w:rsidR="003A5889">
        <w:rPr>
          <w:rFonts w:eastAsia="Calibri"/>
          <w:sz w:val="20"/>
          <w:szCs w:val="20"/>
        </w:rPr>
        <w:t xml:space="preserve">investment in </w:t>
      </w:r>
      <w:r w:rsidR="003A5889" w:rsidRPr="0074245B">
        <w:rPr>
          <w:rFonts w:eastAsia="Calibri"/>
          <w:sz w:val="20"/>
          <w:szCs w:val="20"/>
        </w:rPr>
        <w:t>subsidiar</w:t>
      </w:r>
      <w:r w:rsidR="003A5889">
        <w:rPr>
          <w:rFonts w:eastAsia="Calibri"/>
          <w:sz w:val="20"/>
          <w:szCs w:val="20"/>
        </w:rPr>
        <w:t>ies</w:t>
      </w:r>
      <w:r w:rsidR="003A5889" w:rsidRPr="0074245B">
        <w:rPr>
          <w:rFonts w:eastAsia="Calibri"/>
          <w:sz w:val="20"/>
          <w:szCs w:val="20"/>
        </w:rPr>
        <w:t xml:space="preserve">, with a transaction </w:t>
      </w:r>
      <w:r w:rsidR="00405D47">
        <w:rPr>
          <w:rFonts w:eastAsia="Calibri"/>
          <w:sz w:val="20"/>
          <w:szCs w:val="20"/>
        </w:rPr>
        <w:t>amount</w:t>
      </w:r>
      <w:r w:rsidR="003A5889" w:rsidRPr="0074245B">
        <w:rPr>
          <w:rFonts w:eastAsia="Calibri"/>
          <w:sz w:val="20"/>
          <w:szCs w:val="20"/>
        </w:rPr>
        <w:t xml:space="preserve"> of </w:t>
      </w:r>
      <w:r w:rsidR="003A5889">
        <w:rPr>
          <w:rFonts w:eastAsia="Calibri"/>
          <w:sz w:val="20"/>
          <w:szCs w:val="20"/>
        </w:rPr>
        <w:t xml:space="preserve">Baht </w:t>
      </w:r>
      <w:r w:rsidR="003A5889" w:rsidRPr="0074245B">
        <w:rPr>
          <w:rFonts w:eastAsia="Calibri"/>
          <w:sz w:val="20"/>
          <w:szCs w:val="20"/>
        </w:rPr>
        <w:t xml:space="preserve">474.70 million. The buyer made an advance payment of </w:t>
      </w:r>
      <w:r w:rsidR="003A5889">
        <w:rPr>
          <w:rFonts w:eastAsia="Calibri"/>
          <w:sz w:val="20"/>
          <w:szCs w:val="20"/>
        </w:rPr>
        <w:t xml:space="preserve">Baht </w:t>
      </w:r>
      <w:r w:rsidR="003A5889" w:rsidRPr="0074245B">
        <w:rPr>
          <w:rFonts w:eastAsia="Calibri"/>
          <w:sz w:val="20"/>
          <w:szCs w:val="20"/>
        </w:rPr>
        <w:t xml:space="preserve">129.78 million for some of the shares and will pay the remaining </w:t>
      </w:r>
      <w:r w:rsidR="003A5889">
        <w:rPr>
          <w:rFonts w:eastAsia="Calibri"/>
          <w:sz w:val="20"/>
          <w:szCs w:val="20"/>
        </w:rPr>
        <w:t xml:space="preserve">Baht </w:t>
      </w:r>
      <w:r w:rsidR="003A5889" w:rsidRPr="0074245B">
        <w:rPr>
          <w:rFonts w:eastAsia="Calibri"/>
          <w:sz w:val="20"/>
          <w:szCs w:val="20"/>
        </w:rPr>
        <w:t xml:space="preserve">344.92 million once PSE fulfils the terms and conditions stipulated in the </w:t>
      </w:r>
      <w:r w:rsidR="008B3C72" w:rsidRPr="008B3C72">
        <w:rPr>
          <w:rFonts w:eastAsia="Calibri"/>
          <w:sz w:val="20"/>
          <w:szCs w:val="20"/>
        </w:rPr>
        <w:t>share sale and purchase agreement</w:t>
      </w:r>
      <w:r w:rsidR="003A5889" w:rsidRPr="0074245B">
        <w:rPr>
          <w:rFonts w:eastAsia="Calibri"/>
          <w:sz w:val="20"/>
          <w:szCs w:val="20"/>
        </w:rPr>
        <w:t xml:space="preserve">. However, as of </w:t>
      </w:r>
      <w:r w:rsidR="003A5889">
        <w:rPr>
          <w:rFonts w:eastAsia="Calibri"/>
          <w:sz w:val="20"/>
          <w:szCs w:val="20"/>
        </w:rPr>
        <w:t xml:space="preserve">31 </w:t>
      </w:r>
      <w:r w:rsidR="003A5889" w:rsidRPr="0074245B">
        <w:rPr>
          <w:rFonts w:eastAsia="Calibri"/>
          <w:sz w:val="20"/>
          <w:szCs w:val="20"/>
        </w:rPr>
        <w:t xml:space="preserve">December 2024, PSE had not yet completed its obligations, but it has </w:t>
      </w:r>
      <w:r w:rsidR="003A5889" w:rsidRPr="00867C5E">
        <w:rPr>
          <w:rFonts w:eastAsia="Calibri"/>
          <w:sz w:val="20"/>
          <w:szCs w:val="20"/>
        </w:rPr>
        <w:t xml:space="preserve">already registered the change of shareholder and director names, transferred all shares to the buyer. Therefore, the Group has recorded the </w:t>
      </w:r>
      <w:r w:rsidR="006250CE">
        <w:rPr>
          <w:rFonts w:eastAsia="Calibri"/>
          <w:sz w:val="20"/>
          <w:szCs w:val="20"/>
        </w:rPr>
        <w:t xml:space="preserve">sales of </w:t>
      </w:r>
      <w:r w:rsidR="003A5889" w:rsidRPr="00867C5E">
        <w:rPr>
          <w:rFonts w:eastAsia="Calibri"/>
          <w:sz w:val="20"/>
          <w:szCs w:val="20"/>
        </w:rPr>
        <w:t>investment in the subsidiaries as a non-current financial asset measured at fair value through profit or loss in the amount of Baht 474.70 million in the consolidated statement of financial position. Additionally, the Group has advance payments</w:t>
      </w:r>
      <w:r w:rsidR="00CF2611">
        <w:rPr>
          <w:rFonts w:eastAsia="Calibri" w:cs="Browallia New"/>
          <w:sz w:val="20"/>
          <w:szCs w:val="25"/>
        </w:rPr>
        <w:t>,</w:t>
      </w:r>
      <w:r w:rsidR="003A5889" w:rsidRPr="00867C5E">
        <w:rPr>
          <w:rFonts w:eastAsia="Calibri" w:cs="Browallia New"/>
          <w:sz w:val="20"/>
          <w:szCs w:val="25"/>
        </w:rPr>
        <w:t xml:space="preserve"> amount</w:t>
      </w:r>
      <w:r w:rsidR="00A41912">
        <w:rPr>
          <w:rFonts w:eastAsia="Calibri" w:cs="Browallia New"/>
          <w:sz w:val="20"/>
          <w:szCs w:val="25"/>
        </w:rPr>
        <w:t xml:space="preserve">s </w:t>
      </w:r>
      <w:r w:rsidR="00A41912">
        <w:rPr>
          <w:rFonts w:eastAsia="Calibri"/>
          <w:sz w:val="20"/>
          <w:szCs w:val="20"/>
        </w:rPr>
        <w:t>and other assets</w:t>
      </w:r>
      <w:r w:rsidR="003A5889" w:rsidRPr="00867C5E">
        <w:rPr>
          <w:rFonts w:eastAsia="Calibri" w:cs="Browallia New"/>
          <w:sz w:val="20"/>
          <w:szCs w:val="25"/>
        </w:rPr>
        <w:t xml:space="preserve"> due from t</w:t>
      </w:r>
      <w:r w:rsidR="003A5889" w:rsidRPr="00867C5E">
        <w:rPr>
          <w:rFonts w:eastAsia="Calibri"/>
          <w:sz w:val="20"/>
          <w:szCs w:val="20"/>
        </w:rPr>
        <w:t xml:space="preserve">hese </w:t>
      </w:r>
      <w:r w:rsidR="006250CE">
        <w:rPr>
          <w:rFonts w:eastAsia="Calibri"/>
          <w:sz w:val="20"/>
          <w:szCs w:val="20"/>
        </w:rPr>
        <w:t xml:space="preserve">companies </w:t>
      </w:r>
      <w:r w:rsidR="00CF2611">
        <w:rPr>
          <w:rFonts w:eastAsia="Calibri"/>
          <w:sz w:val="20"/>
          <w:szCs w:val="20"/>
        </w:rPr>
        <w:t>which</w:t>
      </w:r>
      <w:r w:rsidR="006250CE">
        <w:rPr>
          <w:rFonts w:eastAsia="Calibri"/>
          <w:sz w:val="20"/>
          <w:szCs w:val="20"/>
        </w:rPr>
        <w:t xml:space="preserve"> </w:t>
      </w:r>
      <w:r w:rsidR="00A41912">
        <w:rPr>
          <w:rFonts w:eastAsia="Calibri"/>
          <w:sz w:val="20"/>
          <w:szCs w:val="20"/>
        </w:rPr>
        <w:t>are</w:t>
      </w:r>
      <w:r w:rsidR="00CF2611">
        <w:rPr>
          <w:rFonts w:eastAsia="Calibri"/>
          <w:sz w:val="20"/>
          <w:szCs w:val="20"/>
        </w:rPr>
        <w:t xml:space="preserve"> </w:t>
      </w:r>
      <w:r w:rsidR="006250CE">
        <w:rPr>
          <w:rFonts w:eastAsia="Calibri"/>
          <w:sz w:val="20"/>
          <w:szCs w:val="20"/>
        </w:rPr>
        <w:t>present</w:t>
      </w:r>
      <w:r w:rsidR="00CF2611">
        <w:rPr>
          <w:rFonts w:eastAsia="Calibri"/>
          <w:sz w:val="20"/>
          <w:szCs w:val="20"/>
        </w:rPr>
        <w:t>ed</w:t>
      </w:r>
      <w:r w:rsidR="003A5889" w:rsidRPr="00867C5E">
        <w:rPr>
          <w:rFonts w:eastAsia="Calibri"/>
          <w:sz w:val="20"/>
          <w:szCs w:val="20"/>
        </w:rPr>
        <w:t xml:space="preserve"> in trade and other non-current receivables in the </w:t>
      </w:r>
      <w:proofErr w:type="gramStart"/>
      <w:r w:rsidR="003A5889" w:rsidRPr="00867C5E">
        <w:rPr>
          <w:rFonts w:eastAsia="Calibri"/>
          <w:sz w:val="20"/>
          <w:szCs w:val="20"/>
        </w:rPr>
        <w:t>amount</w:t>
      </w:r>
      <w:proofErr w:type="gramEnd"/>
      <w:r w:rsidR="003A5889" w:rsidRPr="00867C5E">
        <w:rPr>
          <w:rFonts w:eastAsia="Calibri"/>
          <w:sz w:val="20"/>
          <w:szCs w:val="20"/>
        </w:rPr>
        <w:t xml:space="preserve"> of </w:t>
      </w:r>
      <w:r w:rsidR="00DF779E">
        <w:rPr>
          <w:rFonts w:eastAsia="Calibri"/>
          <w:sz w:val="20"/>
          <w:szCs w:val="20"/>
        </w:rPr>
        <w:t>B</w:t>
      </w:r>
      <w:r w:rsidR="003A5889" w:rsidRPr="00867C5E">
        <w:rPr>
          <w:rFonts w:eastAsia="Calibri"/>
          <w:sz w:val="20"/>
          <w:szCs w:val="20"/>
        </w:rPr>
        <w:t>aht 510.92 million in the consolidated statement of financial position</w:t>
      </w:r>
      <w:r w:rsidR="006250CE">
        <w:rPr>
          <w:rFonts w:eastAsia="Calibri"/>
          <w:sz w:val="20"/>
          <w:szCs w:val="20"/>
        </w:rPr>
        <w:t>.</w:t>
      </w:r>
    </w:p>
    <w:p w14:paraId="4DEE4EC0" w14:textId="77777777" w:rsidR="003A5889" w:rsidRPr="00867C5E" w:rsidRDefault="003A5889" w:rsidP="003A5889">
      <w:pPr>
        <w:pStyle w:val="Default"/>
        <w:jc w:val="both"/>
        <w:rPr>
          <w:rFonts w:eastAsia="Calibri"/>
          <w:color w:val="FF0000"/>
          <w:sz w:val="20"/>
          <w:szCs w:val="20"/>
        </w:rPr>
      </w:pPr>
    </w:p>
    <w:p w14:paraId="4A560AB7" w14:textId="77777777" w:rsidR="008B3C72" w:rsidRDefault="008B3C72" w:rsidP="008B3C72">
      <w:pPr>
        <w:pStyle w:val="Default"/>
        <w:jc w:val="thaiDistribute"/>
        <w:rPr>
          <w:rFonts w:eastAsia="Calibri" w:cstheme="minorBidi"/>
          <w:color w:val="auto"/>
          <w:sz w:val="20"/>
          <w:szCs w:val="20"/>
        </w:rPr>
      </w:pPr>
      <w:bookmarkStart w:id="0" w:name="_Hlk191627582"/>
    </w:p>
    <w:p w14:paraId="4A64F69A" w14:textId="77777777" w:rsidR="008B3C72" w:rsidRDefault="008B3C72" w:rsidP="008B3C72">
      <w:pPr>
        <w:pStyle w:val="Default"/>
        <w:jc w:val="thaiDistribute"/>
        <w:rPr>
          <w:rFonts w:eastAsia="Calibri" w:cstheme="minorBidi"/>
          <w:color w:val="auto"/>
          <w:sz w:val="20"/>
          <w:szCs w:val="20"/>
        </w:rPr>
      </w:pPr>
    </w:p>
    <w:p w14:paraId="48A27731" w14:textId="77777777" w:rsidR="008B3C72" w:rsidRDefault="008B3C72" w:rsidP="008B3C72">
      <w:pPr>
        <w:pStyle w:val="Default"/>
        <w:jc w:val="thaiDistribute"/>
        <w:rPr>
          <w:rFonts w:eastAsia="Calibri" w:cstheme="minorBidi"/>
          <w:color w:val="auto"/>
          <w:sz w:val="20"/>
          <w:szCs w:val="20"/>
        </w:rPr>
      </w:pPr>
    </w:p>
    <w:p w14:paraId="346D92C4" w14:textId="77777777" w:rsidR="008B3C72" w:rsidRDefault="008B3C72" w:rsidP="008B3C72">
      <w:pPr>
        <w:pStyle w:val="Default"/>
        <w:jc w:val="thaiDistribute"/>
        <w:rPr>
          <w:rFonts w:eastAsia="Calibri" w:cstheme="minorBidi"/>
          <w:color w:val="auto"/>
          <w:sz w:val="20"/>
          <w:szCs w:val="20"/>
        </w:rPr>
      </w:pPr>
    </w:p>
    <w:p w14:paraId="3A6D9184" w14:textId="77777777" w:rsidR="008B3C72" w:rsidRDefault="008B3C72" w:rsidP="008B3C72">
      <w:pPr>
        <w:pStyle w:val="Default"/>
        <w:jc w:val="thaiDistribute"/>
        <w:rPr>
          <w:rFonts w:eastAsia="Calibri" w:cstheme="minorBidi"/>
          <w:color w:val="auto"/>
          <w:sz w:val="20"/>
          <w:szCs w:val="20"/>
        </w:rPr>
      </w:pPr>
    </w:p>
    <w:p w14:paraId="3D453E5B" w14:textId="77777777" w:rsidR="008B3C72" w:rsidRDefault="008B3C72" w:rsidP="008B3C72">
      <w:pPr>
        <w:pStyle w:val="Default"/>
        <w:jc w:val="thaiDistribute"/>
        <w:rPr>
          <w:rFonts w:eastAsia="Calibri" w:cstheme="minorBidi"/>
          <w:color w:val="auto"/>
          <w:sz w:val="20"/>
          <w:szCs w:val="20"/>
        </w:rPr>
      </w:pPr>
    </w:p>
    <w:p w14:paraId="5C5A5A3F" w14:textId="77777777" w:rsidR="008B3C72" w:rsidRDefault="008B3C72" w:rsidP="008B3C72">
      <w:pPr>
        <w:pStyle w:val="Default"/>
        <w:jc w:val="thaiDistribute"/>
        <w:rPr>
          <w:rFonts w:eastAsia="Calibri" w:cstheme="minorBidi"/>
          <w:color w:val="auto"/>
          <w:sz w:val="20"/>
          <w:szCs w:val="20"/>
        </w:rPr>
      </w:pPr>
    </w:p>
    <w:p w14:paraId="1F413601" w14:textId="77777777" w:rsidR="008B3C72" w:rsidRDefault="008B3C72" w:rsidP="008B3C72">
      <w:pPr>
        <w:pStyle w:val="Default"/>
        <w:jc w:val="thaiDistribute"/>
        <w:rPr>
          <w:rFonts w:eastAsia="Calibri" w:cstheme="minorBidi"/>
          <w:color w:val="auto"/>
          <w:sz w:val="20"/>
          <w:szCs w:val="20"/>
        </w:rPr>
      </w:pPr>
    </w:p>
    <w:p w14:paraId="4FF70696" w14:textId="77777777" w:rsidR="008B3C72" w:rsidRDefault="008B3C72" w:rsidP="008B3C72">
      <w:pPr>
        <w:pStyle w:val="Default"/>
        <w:jc w:val="thaiDistribute"/>
        <w:rPr>
          <w:rFonts w:eastAsia="Calibri" w:cstheme="minorBidi"/>
          <w:color w:val="auto"/>
          <w:sz w:val="20"/>
          <w:szCs w:val="20"/>
        </w:rPr>
      </w:pPr>
    </w:p>
    <w:p w14:paraId="5A9D27F6" w14:textId="77777777" w:rsidR="008B3C72" w:rsidRDefault="008B3C72" w:rsidP="008B3C72">
      <w:pPr>
        <w:pStyle w:val="Default"/>
        <w:jc w:val="thaiDistribute"/>
        <w:rPr>
          <w:rFonts w:eastAsia="Calibri" w:cstheme="minorBidi"/>
          <w:color w:val="auto"/>
          <w:sz w:val="20"/>
          <w:szCs w:val="20"/>
        </w:rPr>
      </w:pPr>
    </w:p>
    <w:p w14:paraId="2104225C" w14:textId="77777777" w:rsidR="008B3C72" w:rsidRDefault="008B3C72" w:rsidP="008B3C72">
      <w:pPr>
        <w:pStyle w:val="Default"/>
        <w:jc w:val="thaiDistribute"/>
        <w:rPr>
          <w:rFonts w:eastAsia="Calibri" w:cstheme="minorBidi"/>
          <w:color w:val="auto"/>
          <w:sz w:val="20"/>
          <w:szCs w:val="20"/>
        </w:rPr>
      </w:pPr>
    </w:p>
    <w:p w14:paraId="3C6EE61F" w14:textId="77777777" w:rsidR="008B3C72" w:rsidRDefault="008B3C72" w:rsidP="008B3C72">
      <w:pPr>
        <w:pStyle w:val="Default"/>
        <w:jc w:val="thaiDistribute"/>
        <w:rPr>
          <w:rFonts w:eastAsia="Calibri" w:cstheme="minorBidi"/>
          <w:color w:val="auto"/>
          <w:sz w:val="20"/>
          <w:szCs w:val="20"/>
        </w:rPr>
      </w:pPr>
    </w:p>
    <w:p w14:paraId="733551FF" w14:textId="77777777" w:rsidR="008B3C72" w:rsidRDefault="008B3C72" w:rsidP="008B3C72">
      <w:pPr>
        <w:pStyle w:val="Default"/>
        <w:jc w:val="thaiDistribute"/>
        <w:rPr>
          <w:rFonts w:eastAsia="Calibri" w:cstheme="minorBidi"/>
          <w:color w:val="auto"/>
          <w:sz w:val="20"/>
          <w:szCs w:val="20"/>
        </w:rPr>
      </w:pPr>
    </w:p>
    <w:p w14:paraId="2FBE1198" w14:textId="77777777" w:rsidR="00C77299" w:rsidRDefault="00C77299" w:rsidP="008B3C72">
      <w:pPr>
        <w:pStyle w:val="Default"/>
        <w:jc w:val="thaiDistribute"/>
        <w:rPr>
          <w:rFonts w:eastAsia="Calibri" w:cstheme="minorBidi"/>
          <w:color w:val="auto"/>
          <w:sz w:val="20"/>
          <w:szCs w:val="20"/>
        </w:rPr>
      </w:pPr>
    </w:p>
    <w:p w14:paraId="5838B80F" w14:textId="77777777" w:rsidR="008B3C72" w:rsidRDefault="008B3C72" w:rsidP="008B3C72">
      <w:pPr>
        <w:pStyle w:val="Default"/>
        <w:jc w:val="thaiDistribute"/>
        <w:rPr>
          <w:rFonts w:eastAsia="Calibri" w:cstheme="minorBidi"/>
          <w:color w:val="auto"/>
          <w:sz w:val="20"/>
          <w:szCs w:val="20"/>
        </w:rPr>
      </w:pPr>
    </w:p>
    <w:p w14:paraId="18E41E7B" w14:textId="77777777" w:rsidR="008B3C72" w:rsidRDefault="008B3C72" w:rsidP="008B3C72">
      <w:pPr>
        <w:pStyle w:val="Default"/>
        <w:jc w:val="thaiDistribute"/>
        <w:rPr>
          <w:rFonts w:eastAsia="Calibri" w:cstheme="minorBidi"/>
          <w:color w:val="auto"/>
          <w:sz w:val="20"/>
          <w:szCs w:val="20"/>
        </w:rPr>
      </w:pPr>
    </w:p>
    <w:p w14:paraId="0052825F" w14:textId="77777777" w:rsidR="008B3C72" w:rsidRDefault="008B3C72" w:rsidP="008B3C72">
      <w:pPr>
        <w:pStyle w:val="Default"/>
        <w:jc w:val="thaiDistribute"/>
        <w:rPr>
          <w:rFonts w:eastAsia="Calibri"/>
          <w:b/>
          <w:bCs/>
          <w:sz w:val="20"/>
          <w:szCs w:val="20"/>
        </w:rPr>
      </w:pPr>
      <w:r w:rsidRPr="00D643D5">
        <w:rPr>
          <w:rFonts w:eastAsia="Calibri"/>
          <w:b/>
          <w:bCs/>
          <w:sz w:val="20"/>
          <w:szCs w:val="20"/>
        </w:rPr>
        <w:t>Basis for qualified opinion</w:t>
      </w:r>
    </w:p>
    <w:p w14:paraId="786016CD" w14:textId="77777777" w:rsidR="008B3C72" w:rsidRDefault="008B3C72" w:rsidP="008B3C72">
      <w:pPr>
        <w:pStyle w:val="Default"/>
        <w:jc w:val="thaiDistribute"/>
        <w:rPr>
          <w:rFonts w:eastAsia="Calibri"/>
          <w:b/>
          <w:bCs/>
          <w:sz w:val="12"/>
          <w:szCs w:val="12"/>
        </w:rPr>
      </w:pPr>
    </w:p>
    <w:p w14:paraId="1957C1B2" w14:textId="77777777" w:rsidR="008B3C72" w:rsidRDefault="008B3C72" w:rsidP="008B3C72">
      <w:pPr>
        <w:pStyle w:val="Default"/>
        <w:jc w:val="thaiDistribute"/>
        <w:rPr>
          <w:rFonts w:eastAsia="Calibri"/>
          <w:b/>
          <w:bCs/>
          <w:sz w:val="12"/>
          <w:szCs w:val="12"/>
        </w:rPr>
      </w:pPr>
    </w:p>
    <w:p w14:paraId="56AE77E5" w14:textId="55D9E14E" w:rsidR="008B3C72" w:rsidRPr="008B3C72" w:rsidRDefault="008B3C72" w:rsidP="008B3C72">
      <w:pPr>
        <w:autoSpaceDE w:val="0"/>
        <w:autoSpaceDN w:val="0"/>
        <w:adjustRightInd w:val="0"/>
        <w:spacing w:after="0" w:line="240" w:lineRule="auto"/>
        <w:rPr>
          <w:rFonts w:ascii="Arial" w:eastAsia="Calibri" w:hAnsi="Arial" w:cs="Browallia New"/>
          <w:color w:val="000000"/>
          <w:sz w:val="20"/>
          <w:szCs w:val="25"/>
          <w:lang w:val="en-US"/>
        </w:rPr>
      </w:pPr>
      <w:r w:rsidRPr="0096025D">
        <w:rPr>
          <w:rFonts w:ascii="Arial" w:eastAsia="Calibri" w:hAnsi="Arial" w:cs="Arial"/>
          <w:i/>
          <w:iCs/>
          <w:color w:val="000000"/>
          <w:sz w:val="20"/>
          <w:szCs w:val="20"/>
        </w:rPr>
        <w:t xml:space="preserve">Sale of </w:t>
      </w:r>
      <w:r w:rsidRPr="0096025D">
        <w:rPr>
          <w:rFonts w:ascii="Arial" w:eastAsia="Calibri" w:hAnsi="Arial" w:cs="Browallia New"/>
          <w:i/>
          <w:iCs/>
          <w:color w:val="000000"/>
          <w:sz w:val="20"/>
          <w:szCs w:val="25"/>
        </w:rPr>
        <w:t>investment in subsidiaries</w:t>
      </w:r>
      <w:r>
        <w:rPr>
          <w:rFonts w:ascii="Arial" w:eastAsia="Calibri" w:hAnsi="Arial" w:cs="Browallia New" w:hint="cs"/>
          <w:b/>
          <w:bCs/>
          <w:color w:val="000000"/>
          <w:sz w:val="20"/>
          <w:szCs w:val="25"/>
          <w:cs/>
        </w:rPr>
        <w:t xml:space="preserve"> </w:t>
      </w:r>
      <w:r w:rsidRPr="008B3C72">
        <w:rPr>
          <w:rFonts w:ascii="Arial" w:eastAsia="Calibri" w:hAnsi="Arial" w:cs="Browallia New"/>
          <w:color w:val="000000"/>
          <w:sz w:val="20"/>
          <w:szCs w:val="25"/>
          <w:lang w:val="en-US"/>
        </w:rPr>
        <w:t>(Cont’d)</w:t>
      </w:r>
    </w:p>
    <w:p w14:paraId="6DFD240D" w14:textId="77777777" w:rsidR="008B3C72" w:rsidRPr="008B3C72" w:rsidRDefault="008B3C72" w:rsidP="008B3C72">
      <w:pPr>
        <w:pStyle w:val="Default"/>
        <w:jc w:val="thaiDistribute"/>
        <w:rPr>
          <w:rFonts w:eastAsia="Calibri" w:cstheme="minorBidi"/>
          <w:color w:val="auto"/>
          <w:sz w:val="20"/>
          <w:szCs w:val="20"/>
        </w:rPr>
      </w:pPr>
    </w:p>
    <w:p w14:paraId="38769F46" w14:textId="4327B00E" w:rsidR="008B3C72" w:rsidRDefault="00134015" w:rsidP="008B3C72">
      <w:pPr>
        <w:pStyle w:val="Default"/>
        <w:jc w:val="thaiDistribute"/>
        <w:rPr>
          <w:rFonts w:eastAsia="Calibri"/>
          <w:color w:val="auto"/>
          <w:sz w:val="20"/>
          <w:szCs w:val="20"/>
        </w:rPr>
      </w:pPr>
      <w:r w:rsidRPr="00134015">
        <w:rPr>
          <w:rFonts w:eastAsia="Calibri"/>
          <w:color w:val="auto"/>
          <w:sz w:val="20"/>
          <w:szCs w:val="20"/>
        </w:rPr>
        <w:t xml:space="preserve">Due to the circumstances where </w:t>
      </w:r>
      <w:r w:rsidR="003A5889" w:rsidRPr="00867C5E">
        <w:rPr>
          <w:rFonts w:eastAsia="Calibri"/>
          <w:color w:val="auto"/>
          <w:sz w:val="20"/>
          <w:szCs w:val="20"/>
        </w:rPr>
        <w:t xml:space="preserve">I was unable to obtain sufficient appropriate audit evidence to verify the value </w:t>
      </w:r>
      <w:bookmarkEnd w:id="0"/>
      <w:r w:rsidR="003A5889" w:rsidRPr="00867C5E">
        <w:rPr>
          <w:rFonts w:eastAsia="Calibri"/>
          <w:color w:val="auto"/>
          <w:sz w:val="20"/>
          <w:szCs w:val="20"/>
        </w:rPr>
        <w:t>of the sale of investment in the subsidiar</w:t>
      </w:r>
      <w:r w:rsidR="006250CE">
        <w:rPr>
          <w:rFonts w:eastAsia="Calibri"/>
          <w:color w:val="auto"/>
          <w:sz w:val="20"/>
          <w:szCs w:val="20"/>
        </w:rPr>
        <w:t>ies</w:t>
      </w:r>
      <w:r w:rsidR="003A5889" w:rsidRPr="00867C5E">
        <w:rPr>
          <w:rFonts w:eastAsia="Calibri"/>
          <w:color w:val="auto"/>
          <w:sz w:val="20"/>
          <w:szCs w:val="20"/>
        </w:rPr>
        <w:t xml:space="preserve"> as mentioned above, which is presented as a non-current financial asset measured at fair value through profit or loss in the amount of Baht 474.70 million, and the value of the advance payments</w:t>
      </w:r>
      <w:r w:rsidR="00CF2611">
        <w:rPr>
          <w:rFonts w:eastAsia="Calibri"/>
          <w:color w:val="auto"/>
          <w:sz w:val="20"/>
          <w:szCs w:val="20"/>
        </w:rPr>
        <w:t>,</w:t>
      </w:r>
      <w:r w:rsidR="003A5889" w:rsidRPr="00867C5E">
        <w:rPr>
          <w:rFonts w:eastAsia="Calibri"/>
          <w:color w:val="auto"/>
          <w:sz w:val="20"/>
          <w:szCs w:val="20"/>
        </w:rPr>
        <w:t xml:space="preserve"> amount</w:t>
      </w:r>
      <w:r w:rsidR="00A41912">
        <w:rPr>
          <w:rFonts w:eastAsia="Calibri"/>
          <w:color w:val="auto"/>
          <w:sz w:val="20"/>
          <w:szCs w:val="20"/>
        </w:rPr>
        <w:t>s and other assets</w:t>
      </w:r>
      <w:r w:rsidR="003A5889" w:rsidRPr="00867C5E">
        <w:rPr>
          <w:rFonts w:eastAsia="Calibri"/>
          <w:color w:val="auto"/>
          <w:sz w:val="20"/>
          <w:szCs w:val="20"/>
        </w:rPr>
        <w:t xml:space="preserve"> due from these </w:t>
      </w:r>
      <w:r w:rsidR="006250CE">
        <w:rPr>
          <w:rFonts w:eastAsia="Calibri"/>
          <w:color w:val="auto"/>
          <w:sz w:val="20"/>
          <w:szCs w:val="20"/>
        </w:rPr>
        <w:t>companies</w:t>
      </w:r>
      <w:r w:rsidR="003A5889" w:rsidRPr="00867C5E">
        <w:rPr>
          <w:rFonts w:eastAsia="Calibri"/>
          <w:color w:val="auto"/>
          <w:sz w:val="20"/>
          <w:szCs w:val="20"/>
        </w:rPr>
        <w:t xml:space="preserve">, which </w:t>
      </w:r>
      <w:r w:rsidR="00A41912">
        <w:rPr>
          <w:rFonts w:eastAsia="Calibri"/>
          <w:color w:val="auto"/>
          <w:sz w:val="20"/>
          <w:szCs w:val="20"/>
        </w:rPr>
        <w:t>are</w:t>
      </w:r>
      <w:r w:rsidR="003A5889" w:rsidRPr="00867C5E">
        <w:rPr>
          <w:rFonts w:eastAsia="Calibri"/>
          <w:color w:val="auto"/>
          <w:sz w:val="20"/>
          <w:szCs w:val="20"/>
        </w:rPr>
        <w:t xml:space="preserve"> presented in trade and other non-current receivables in the amount of Baht 510.92 million in the consolidated statement of financial position as of 31 December 2024. </w:t>
      </w:r>
      <w:r w:rsidR="008B3C72">
        <w:rPr>
          <w:rFonts w:eastAsia="Calibri"/>
          <w:color w:val="auto"/>
          <w:sz w:val="20"/>
          <w:szCs w:val="20"/>
        </w:rPr>
        <w:t>T</w:t>
      </w:r>
      <w:r w:rsidR="003A5889" w:rsidRPr="00867C5E">
        <w:rPr>
          <w:rFonts w:eastAsia="Calibri"/>
          <w:color w:val="auto"/>
          <w:sz w:val="20"/>
          <w:szCs w:val="20"/>
        </w:rPr>
        <w:t xml:space="preserve">he expected recoverable </w:t>
      </w:r>
      <w:r w:rsidR="00D43E9F">
        <w:rPr>
          <w:rFonts w:eastAsia="Calibri"/>
          <w:color w:val="auto"/>
          <w:sz w:val="20"/>
          <w:szCs w:val="20"/>
        </w:rPr>
        <w:t>amount</w:t>
      </w:r>
      <w:r w:rsidR="003A5889" w:rsidRPr="00867C5E">
        <w:rPr>
          <w:rFonts w:eastAsia="Calibri"/>
          <w:color w:val="auto"/>
          <w:sz w:val="20"/>
          <w:szCs w:val="20"/>
        </w:rPr>
        <w:t xml:space="preserve"> of these assets depends on the</w:t>
      </w:r>
      <w:r w:rsidR="006250CE">
        <w:rPr>
          <w:rFonts w:eastAsia="Calibri"/>
          <w:color w:val="auto"/>
          <w:sz w:val="20"/>
          <w:szCs w:val="20"/>
        </w:rPr>
        <w:t xml:space="preserve"> results of negotiation between the Group and the buyer, the</w:t>
      </w:r>
      <w:r w:rsidR="003A5889" w:rsidRPr="00867C5E">
        <w:rPr>
          <w:rFonts w:eastAsia="Calibri"/>
          <w:color w:val="auto"/>
          <w:sz w:val="20"/>
          <w:szCs w:val="20"/>
        </w:rPr>
        <w:t xml:space="preserve"> completion of obligations and the timeline for conditions completion. </w:t>
      </w:r>
      <w:r w:rsidR="008B3C72" w:rsidRPr="00867C5E">
        <w:rPr>
          <w:rFonts w:eastAsia="Calibri"/>
          <w:color w:val="auto"/>
          <w:sz w:val="20"/>
          <w:szCs w:val="20"/>
        </w:rPr>
        <w:t xml:space="preserve">The </w:t>
      </w:r>
      <w:r w:rsidR="00751C20" w:rsidRPr="008B3C72">
        <w:rPr>
          <w:rFonts w:eastAsia="Calibri"/>
          <w:sz w:val="20"/>
          <w:szCs w:val="20"/>
        </w:rPr>
        <w:t>share sale and purchase agreement</w:t>
      </w:r>
      <w:r w:rsidR="00751C20" w:rsidRPr="00867C5E">
        <w:rPr>
          <w:rFonts w:eastAsia="Calibri"/>
          <w:color w:val="auto"/>
          <w:sz w:val="20"/>
          <w:szCs w:val="20"/>
        </w:rPr>
        <w:t xml:space="preserve"> </w:t>
      </w:r>
      <w:r w:rsidR="008B3C72" w:rsidRPr="00867C5E">
        <w:rPr>
          <w:rFonts w:eastAsia="Calibri"/>
          <w:color w:val="auto"/>
          <w:sz w:val="20"/>
          <w:szCs w:val="20"/>
        </w:rPr>
        <w:t xml:space="preserve">does not specify a completion date. Additionally, the buyer did not respond to </w:t>
      </w:r>
      <w:r w:rsidR="008B3C72">
        <w:rPr>
          <w:rFonts w:eastAsia="Calibri"/>
          <w:color w:val="auto"/>
          <w:sz w:val="20"/>
          <w:szCs w:val="20"/>
        </w:rPr>
        <w:t xml:space="preserve">a confirmation letter to confirm the outstanding balance to me and provided the rationale that the Group is still </w:t>
      </w:r>
      <w:r w:rsidR="008B3C72" w:rsidRPr="00867C5E">
        <w:rPr>
          <w:rFonts w:eastAsia="Calibri"/>
          <w:color w:val="auto"/>
          <w:sz w:val="20"/>
          <w:szCs w:val="20"/>
        </w:rPr>
        <w:t xml:space="preserve">negotiating with the buyer for terms and the transaction </w:t>
      </w:r>
      <w:r w:rsidR="00D43E9F">
        <w:rPr>
          <w:rFonts w:eastAsia="Calibri"/>
          <w:color w:val="auto"/>
          <w:sz w:val="20"/>
          <w:szCs w:val="20"/>
        </w:rPr>
        <w:t>amount</w:t>
      </w:r>
      <w:r w:rsidR="008B3C72" w:rsidRPr="00867C5E">
        <w:rPr>
          <w:rFonts w:eastAsia="Calibri"/>
          <w:color w:val="auto"/>
          <w:sz w:val="20"/>
          <w:szCs w:val="20"/>
        </w:rPr>
        <w:t xml:space="preserve">. As a result, I was unable to obtain </w:t>
      </w:r>
      <w:r w:rsidR="008B3C72">
        <w:rPr>
          <w:rFonts w:eastAsia="Calibri"/>
          <w:color w:val="auto"/>
          <w:sz w:val="20"/>
          <w:szCs w:val="20"/>
        </w:rPr>
        <w:t>sufficient audit evidence to assess the value of the balance</w:t>
      </w:r>
      <w:r w:rsidR="00357D55">
        <w:rPr>
          <w:rFonts w:eastAsia="Calibri"/>
          <w:color w:val="auto"/>
          <w:sz w:val="20"/>
          <w:szCs w:val="20"/>
        </w:rPr>
        <w:t>s</w:t>
      </w:r>
      <w:r w:rsidR="008B3C72">
        <w:rPr>
          <w:rFonts w:eastAsia="Calibri"/>
          <w:color w:val="auto"/>
          <w:sz w:val="20"/>
          <w:szCs w:val="20"/>
        </w:rPr>
        <w:t>,</w:t>
      </w:r>
      <w:r w:rsidR="008B3C72" w:rsidRPr="00867C5E">
        <w:rPr>
          <w:rFonts w:eastAsia="Calibri"/>
          <w:color w:val="auto"/>
          <w:sz w:val="20"/>
          <w:szCs w:val="20"/>
        </w:rPr>
        <w:t xml:space="preserve"> and I was unable to satisfy myself </w:t>
      </w:r>
      <w:r w:rsidR="008B3C72">
        <w:rPr>
          <w:rFonts w:eastAsia="Calibri"/>
          <w:color w:val="auto"/>
          <w:sz w:val="20"/>
          <w:szCs w:val="20"/>
        </w:rPr>
        <w:t>with</w:t>
      </w:r>
      <w:r w:rsidR="008B3C72" w:rsidRPr="00867C5E">
        <w:rPr>
          <w:rFonts w:eastAsia="Calibri"/>
          <w:color w:val="auto"/>
          <w:sz w:val="20"/>
          <w:szCs w:val="20"/>
        </w:rPr>
        <w:t xml:space="preserve"> alternative procedures regarding the value of these assets. Consequently, I </w:t>
      </w:r>
      <w:r w:rsidR="008B3C72">
        <w:rPr>
          <w:rFonts w:eastAsia="Calibri"/>
          <w:color w:val="auto"/>
          <w:sz w:val="20"/>
          <w:szCs w:val="20"/>
        </w:rPr>
        <w:t>could not</w:t>
      </w:r>
      <w:r w:rsidR="008B3C72" w:rsidRPr="00867C5E">
        <w:rPr>
          <w:rFonts w:eastAsia="Calibri"/>
          <w:color w:val="auto"/>
          <w:sz w:val="20"/>
          <w:szCs w:val="20"/>
        </w:rPr>
        <w:t xml:space="preserve"> determine whether any</w:t>
      </w:r>
      <w:r w:rsidR="008B3C72" w:rsidRPr="0074245B">
        <w:rPr>
          <w:rFonts w:eastAsia="Calibri"/>
          <w:color w:val="auto"/>
          <w:sz w:val="20"/>
          <w:szCs w:val="20"/>
        </w:rPr>
        <w:t xml:space="preserve"> adjustments to these amounts were necessary. </w:t>
      </w:r>
    </w:p>
    <w:p w14:paraId="5CC20C0C" w14:textId="77777777" w:rsidR="008B3C72" w:rsidRDefault="008B3C72" w:rsidP="003A5889">
      <w:pPr>
        <w:pStyle w:val="Default"/>
        <w:jc w:val="thaiDistribute"/>
        <w:rPr>
          <w:rFonts w:eastAsia="Calibri"/>
          <w:color w:val="auto"/>
          <w:sz w:val="20"/>
          <w:szCs w:val="20"/>
        </w:rPr>
      </w:pPr>
    </w:p>
    <w:p w14:paraId="4F5F2FE6" w14:textId="2A7BE68E" w:rsidR="0074245B" w:rsidRPr="0096025D" w:rsidRDefault="00572678" w:rsidP="00D643D5">
      <w:pPr>
        <w:pStyle w:val="Default"/>
        <w:jc w:val="both"/>
        <w:rPr>
          <w:rFonts w:eastAsia="Calibri"/>
          <w:i/>
          <w:iCs/>
          <w:sz w:val="20"/>
          <w:szCs w:val="20"/>
        </w:rPr>
      </w:pPr>
      <w:r w:rsidRPr="0096025D">
        <w:rPr>
          <w:rFonts w:eastAsia="Calibri"/>
          <w:i/>
          <w:iCs/>
          <w:sz w:val="20"/>
          <w:szCs w:val="20"/>
        </w:rPr>
        <w:t>The recoverable amount of the investment in a subsidiaries</w:t>
      </w:r>
    </w:p>
    <w:p w14:paraId="63979D2A" w14:textId="77777777" w:rsidR="00572678" w:rsidRDefault="00572678" w:rsidP="00D643D5">
      <w:pPr>
        <w:pStyle w:val="Default"/>
        <w:jc w:val="both"/>
        <w:rPr>
          <w:rFonts w:eastAsia="Calibri"/>
          <w:color w:val="FF0000"/>
          <w:sz w:val="20"/>
          <w:szCs w:val="20"/>
        </w:rPr>
      </w:pPr>
    </w:p>
    <w:p w14:paraId="180C9AA0" w14:textId="132DA6A0" w:rsidR="001B24FA" w:rsidRPr="000A16B3" w:rsidRDefault="000A16B3" w:rsidP="001B24FA">
      <w:pPr>
        <w:pStyle w:val="Default"/>
        <w:jc w:val="both"/>
        <w:rPr>
          <w:rFonts w:eastAsia="Calibri"/>
          <w:color w:val="auto"/>
          <w:sz w:val="20"/>
          <w:szCs w:val="20"/>
        </w:rPr>
      </w:pPr>
      <w:r w:rsidRPr="000A16B3">
        <w:rPr>
          <w:rFonts w:eastAsia="Calibri"/>
          <w:color w:val="auto"/>
          <w:sz w:val="20"/>
          <w:szCs w:val="20"/>
        </w:rPr>
        <w:t xml:space="preserve">Due to the circumstances where </w:t>
      </w:r>
      <w:r w:rsidR="00463F95" w:rsidRPr="000A16B3">
        <w:rPr>
          <w:rFonts w:eastAsia="Calibri"/>
          <w:color w:val="auto"/>
          <w:sz w:val="20"/>
          <w:szCs w:val="20"/>
        </w:rPr>
        <w:t xml:space="preserve">I was unable to obtain sufficient appropriate audit evidence </w:t>
      </w:r>
      <w:r w:rsidRPr="000A16B3">
        <w:rPr>
          <w:rFonts w:eastAsia="Calibri"/>
          <w:color w:val="auto"/>
          <w:sz w:val="20"/>
          <w:szCs w:val="20"/>
        </w:rPr>
        <w:t xml:space="preserve">regarding the recoverable amount of the non-current financial assets and advance payments, loan to and other assets to these subsidiaries this has impacted the assessment test of the impairment of the investment in the subsidiaries by indirect investment amounts to Baht 1,057.50 million. Since the management cannot assess the </w:t>
      </w:r>
      <w:r w:rsidR="009B538A" w:rsidRPr="009B538A">
        <w:rPr>
          <w:rFonts w:eastAsia="Calibri"/>
          <w:color w:val="auto"/>
          <w:sz w:val="20"/>
          <w:szCs w:val="20"/>
        </w:rPr>
        <w:t xml:space="preserve">recoverable amount </w:t>
      </w:r>
      <w:r w:rsidRPr="000A16B3">
        <w:rPr>
          <w:rFonts w:eastAsia="Calibri"/>
          <w:color w:val="auto"/>
          <w:sz w:val="20"/>
          <w:szCs w:val="20"/>
        </w:rPr>
        <w:t xml:space="preserve">of the investment in PSE Company. </w:t>
      </w:r>
      <w:r w:rsidR="003E00FB" w:rsidRPr="00867C5E">
        <w:rPr>
          <w:rFonts w:eastAsia="Calibri"/>
          <w:color w:val="auto"/>
          <w:sz w:val="20"/>
          <w:szCs w:val="20"/>
        </w:rPr>
        <w:t xml:space="preserve">I was unable to satisfy myself </w:t>
      </w:r>
      <w:r w:rsidR="003E00FB">
        <w:rPr>
          <w:rFonts w:eastAsia="Calibri"/>
          <w:color w:val="auto"/>
          <w:sz w:val="20"/>
          <w:szCs w:val="20"/>
        </w:rPr>
        <w:t>with</w:t>
      </w:r>
      <w:r w:rsidR="003E00FB" w:rsidRPr="00867C5E">
        <w:rPr>
          <w:rFonts w:eastAsia="Calibri"/>
          <w:color w:val="auto"/>
          <w:sz w:val="20"/>
          <w:szCs w:val="20"/>
        </w:rPr>
        <w:t xml:space="preserve"> alternative procedures </w:t>
      </w:r>
      <w:r w:rsidRPr="000A16B3">
        <w:rPr>
          <w:rFonts w:eastAsia="Calibri"/>
          <w:color w:val="auto"/>
          <w:sz w:val="20"/>
          <w:szCs w:val="20"/>
        </w:rPr>
        <w:t xml:space="preserve">to verify the value of the investment in these indirect subsidiaries in separate financial statements. Therefore, I </w:t>
      </w:r>
      <w:r w:rsidR="003E00FB">
        <w:rPr>
          <w:rFonts w:eastAsia="Calibri" w:cs="Browallia New"/>
          <w:color w:val="auto"/>
          <w:sz w:val="20"/>
          <w:szCs w:val="25"/>
        </w:rPr>
        <w:t xml:space="preserve">could </w:t>
      </w:r>
      <w:r w:rsidRPr="000A16B3">
        <w:rPr>
          <w:rFonts w:eastAsia="Calibri"/>
          <w:color w:val="auto"/>
          <w:sz w:val="20"/>
          <w:szCs w:val="20"/>
        </w:rPr>
        <w:t xml:space="preserve">not determine </w:t>
      </w:r>
      <w:r w:rsidR="00DA0ADB">
        <w:rPr>
          <w:rFonts w:eastAsia="Calibri"/>
          <w:color w:val="auto"/>
          <w:sz w:val="20"/>
          <w:szCs w:val="20"/>
        </w:rPr>
        <w:t>any</w:t>
      </w:r>
      <w:r w:rsidRPr="000A16B3">
        <w:rPr>
          <w:rFonts w:eastAsia="Calibri"/>
          <w:color w:val="auto"/>
          <w:sz w:val="20"/>
          <w:szCs w:val="20"/>
        </w:rPr>
        <w:t xml:space="preserve"> adjust</w:t>
      </w:r>
      <w:r w:rsidR="00DA0ADB">
        <w:rPr>
          <w:rFonts w:eastAsia="Calibri"/>
          <w:color w:val="auto"/>
          <w:sz w:val="20"/>
          <w:szCs w:val="20"/>
        </w:rPr>
        <w:t>ments</w:t>
      </w:r>
      <w:r w:rsidRPr="000A16B3">
        <w:rPr>
          <w:rFonts w:eastAsia="Calibri"/>
          <w:color w:val="auto"/>
          <w:sz w:val="20"/>
          <w:szCs w:val="20"/>
        </w:rPr>
        <w:t xml:space="preserve"> were necessary for the investment in the subsidiaries</w:t>
      </w:r>
      <w:r w:rsidR="009B538A">
        <w:rPr>
          <w:rFonts w:eastAsia="Calibri"/>
          <w:color w:val="auto"/>
          <w:sz w:val="20"/>
          <w:szCs w:val="20"/>
        </w:rPr>
        <w:t>.</w:t>
      </w:r>
      <w:r w:rsidRPr="000A16B3">
        <w:rPr>
          <w:rFonts w:eastAsia="Calibri"/>
          <w:color w:val="auto"/>
          <w:sz w:val="20"/>
          <w:szCs w:val="20"/>
        </w:rPr>
        <w:t xml:space="preserve"> </w:t>
      </w:r>
    </w:p>
    <w:p w14:paraId="7063CF88" w14:textId="77777777" w:rsidR="008B3C72" w:rsidRDefault="008B3C72" w:rsidP="00D643D5">
      <w:pPr>
        <w:pStyle w:val="Default"/>
        <w:jc w:val="thaiDistribute"/>
        <w:rPr>
          <w:rFonts w:eastAsia="Calibri"/>
          <w:b/>
          <w:bCs/>
          <w:sz w:val="20"/>
          <w:szCs w:val="20"/>
        </w:rPr>
      </w:pPr>
    </w:p>
    <w:p w14:paraId="581BD1AE" w14:textId="559A5CAD" w:rsidR="00572678" w:rsidRPr="0096025D" w:rsidRDefault="00572678" w:rsidP="00D643D5">
      <w:pPr>
        <w:pStyle w:val="Default"/>
        <w:jc w:val="thaiDistribute"/>
        <w:rPr>
          <w:rFonts w:eastAsia="Calibri"/>
          <w:i/>
          <w:iCs/>
          <w:sz w:val="20"/>
          <w:szCs w:val="20"/>
        </w:rPr>
      </w:pPr>
      <w:r w:rsidRPr="0096025D">
        <w:rPr>
          <w:rFonts w:eastAsia="Calibri"/>
          <w:i/>
          <w:iCs/>
          <w:sz w:val="20"/>
          <w:szCs w:val="20"/>
        </w:rPr>
        <w:t xml:space="preserve">The recoverable </w:t>
      </w:r>
      <w:r w:rsidR="001F506F" w:rsidRPr="0096025D">
        <w:rPr>
          <w:rFonts w:eastAsia="Calibri"/>
          <w:i/>
          <w:iCs/>
          <w:sz w:val="20"/>
          <w:szCs w:val="20"/>
        </w:rPr>
        <w:t>amount</w:t>
      </w:r>
      <w:r w:rsidRPr="0096025D">
        <w:rPr>
          <w:rFonts w:eastAsia="Calibri"/>
          <w:i/>
          <w:iCs/>
          <w:sz w:val="20"/>
          <w:szCs w:val="20"/>
        </w:rPr>
        <w:t xml:space="preserve"> for the </w:t>
      </w:r>
      <w:r w:rsidRPr="007B1C92">
        <w:rPr>
          <w:rFonts w:eastAsia="Calibri"/>
          <w:i/>
          <w:iCs/>
          <w:sz w:val="20"/>
          <w:szCs w:val="20"/>
        </w:rPr>
        <w:t>advance share capital payment</w:t>
      </w:r>
    </w:p>
    <w:p w14:paraId="2D2B618E" w14:textId="77777777" w:rsidR="00572678" w:rsidRDefault="00572678" w:rsidP="00D643D5">
      <w:pPr>
        <w:pStyle w:val="Default"/>
        <w:jc w:val="thaiDistribute"/>
        <w:rPr>
          <w:rFonts w:eastAsia="Calibri" w:cstheme="minorBidi"/>
          <w:sz w:val="20"/>
          <w:szCs w:val="20"/>
        </w:rPr>
      </w:pPr>
    </w:p>
    <w:p w14:paraId="55396D9C" w14:textId="30CAB9BD" w:rsidR="00A561F4" w:rsidRPr="00921F3C" w:rsidRDefault="00386395" w:rsidP="00D643D5">
      <w:pPr>
        <w:pStyle w:val="Default"/>
        <w:jc w:val="thaiDistribute"/>
        <w:rPr>
          <w:rFonts w:eastAsia="Calibri" w:cstheme="minorBidi"/>
          <w:sz w:val="20"/>
          <w:szCs w:val="20"/>
        </w:rPr>
      </w:pPr>
      <w:r>
        <w:rPr>
          <w:rFonts w:eastAsia="Calibri" w:cstheme="minorBidi"/>
          <w:sz w:val="20"/>
          <w:szCs w:val="20"/>
        </w:rPr>
        <w:t>As disclosure in Note 13, the Group</w:t>
      </w:r>
      <w:r w:rsidR="00921F3C" w:rsidRPr="00921F3C">
        <w:rPr>
          <w:rFonts w:eastAsia="Calibri" w:cstheme="minorBidi"/>
          <w:sz w:val="20"/>
          <w:szCs w:val="20"/>
        </w:rPr>
        <w:t xml:space="preserve"> </w:t>
      </w:r>
      <w:r w:rsidR="00921F3C" w:rsidRPr="009F5A7B">
        <w:rPr>
          <w:rFonts w:eastAsia="Calibri" w:cstheme="minorBidi"/>
          <w:sz w:val="20"/>
          <w:szCs w:val="20"/>
        </w:rPr>
        <w:t>paid an advance for shares on behalf of a shareholder</w:t>
      </w:r>
      <w:r w:rsidR="00A51864">
        <w:rPr>
          <w:rFonts w:eastAsia="Calibri" w:cstheme="minorBidi"/>
          <w:sz w:val="20"/>
          <w:szCs w:val="20"/>
        </w:rPr>
        <w:t xml:space="preserve"> of a subsidiary</w:t>
      </w:r>
      <w:r w:rsidR="00921F3C" w:rsidRPr="009F5A7B">
        <w:rPr>
          <w:rFonts w:eastAsia="Calibri" w:cstheme="minorBidi"/>
          <w:sz w:val="20"/>
          <w:szCs w:val="20"/>
        </w:rPr>
        <w:t xml:space="preserve"> in the amount of</w:t>
      </w:r>
      <w:r w:rsidR="00921F3C">
        <w:rPr>
          <w:rFonts w:eastAsia="Calibri" w:cstheme="minorBidi"/>
          <w:sz w:val="20"/>
          <w:szCs w:val="20"/>
        </w:rPr>
        <w:t xml:space="preserve"> Baht</w:t>
      </w:r>
      <w:r w:rsidR="00921F3C" w:rsidRPr="009F5A7B">
        <w:rPr>
          <w:rFonts w:eastAsia="Calibri" w:cstheme="minorBidi"/>
          <w:sz w:val="20"/>
          <w:szCs w:val="20"/>
        </w:rPr>
        <w:t xml:space="preserve"> 21.67 million</w:t>
      </w:r>
      <w:r w:rsidR="00921F3C">
        <w:rPr>
          <w:rFonts w:eastAsia="Calibri" w:cstheme="minorBidi"/>
          <w:sz w:val="20"/>
          <w:szCs w:val="20"/>
        </w:rPr>
        <w:t xml:space="preserve"> </w:t>
      </w:r>
      <w:r w:rsidR="00921F3C" w:rsidRPr="009F5A7B">
        <w:rPr>
          <w:rFonts w:eastAsia="Calibri" w:cstheme="minorBidi"/>
          <w:sz w:val="20"/>
          <w:szCs w:val="20"/>
        </w:rPr>
        <w:t>which is presented in the consolidated statement</w:t>
      </w:r>
      <w:r w:rsidR="00921F3C">
        <w:rPr>
          <w:rFonts w:eastAsia="Calibri" w:cstheme="minorBidi" w:hint="cs"/>
          <w:sz w:val="20"/>
          <w:szCs w:val="20"/>
          <w:cs/>
        </w:rPr>
        <w:t xml:space="preserve"> </w:t>
      </w:r>
      <w:r w:rsidR="00921F3C">
        <w:rPr>
          <w:rFonts w:eastAsia="Calibri" w:cstheme="minorBidi"/>
          <w:sz w:val="20"/>
          <w:szCs w:val="20"/>
        </w:rPr>
        <w:t>of financial position</w:t>
      </w:r>
      <w:r w:rsidR="00921F3C" w:rsidRPr="009F5A7B">
        <w:rPr>
          <w:rFonts w:eastAsia="Calibri" w:cstheme="minorBidi"/>
          <w:sz w:val="20"/>
          <w:szCs w:val="20"/>
        </w:rPr>
        <w:t xml:space="preserve"> as of </w:t>
      </w:r>
      <w:r w:rsidR="00921F3C">
        <w:rPr>
          <w:rFonts w:eastAsia="Calibri" w:cstheme="minorBidi"/>
          <w:sz w:val="20"/>
          <w:szCs w:val="20"/>
        </w:rPr>
        <w:t xml:space="preserve">31 </w:t>
      </w:r>
      <w:r w:rsidR="00921F3C" w:rsidRPr="009F5A7B">
        <w:rPr>
          <w:rFonts w:eastAsia="Calibri" w:cstheme="minorBidi"/>
          <w:sz w:val="20"/>
          <w:szCs w:val="20"/>
        </w:rPr>
        <w:t>December 2024</w:t>
      </w:r>
      <w:r w:rsidR="00921F3C">
        <w:rPr>
          <w:rFonts w:eastAsia="Calibri" w:cstheme="minorBidi"/>
          <w:sz w:val="20"/>
          <w:szCs w:val="20"/>
        </w:rPr>
        <w:t xml:space="preserve"> in </w:t>
      </w:r>
      <w:r w:rsidR="00921F3C" w:rsidRPr="009F5A7B">
        <w:rPr>
          <w:rFonts w:eastAsia="Calibri" w:cstheme="minorBidi"/>
          <w:sz w:val="20"/>
          <w:szCs w:val="20"/>
        </w:rPr>
        <w:t>trade receivables and other non-current receivables</w:t>
      </w:r>
      <w:r w:rsidR="00921F3C">
        <w:rPr>
          <w:rFonts w:eastAsia="Calibri" w:cstheme="minorBidi"/>
          <w:sz w:val="20"/>
          <w:szCs w:val="20"/>
        </w:rPr>
        <w:t xml:space="preserve">. </w:t>
      </w:r>
      <w:r w:rsidR="00134015" w:rsidRPr="00134015">
        <w:rPr>
          <w:rFonts w:eastAsia="Calibri" w:cstheme="minorBidi"/>
          <w:sz w:val="20"/>
          <w:szCs w:val="20"/>
        </w:rPr>
        <w:t xml:space="preserve">Due to the circumstances where </w:t>
      </w:r>
      <w:r w:rsidR="009F5A7B" w:rsidRPr="009F5A7B">
        <w:rPr>
          <w:rFonts w:eastAsia="Calibri" w:cstheme="minorBidi"/>
          <w:sz w:val="20"/>
          <w:szCs w:val="20"/>
        </w:rPr>
        <w:t>I was unable to obtain sufficient appropriate audit evidence to verify the value of</w:t>
      </w:r>
      <w:r w:rsidR="000D44E6">
        <w:rPr>
          <w:rFonts w:eastAsia="Calibri" w:cstheme="minorBidi"/>
          <w:sz w:val="20"/>
          <w:szCs w:val="20"/>
        </w:rPr>
        <w:t xml:space="preserve"> </w:t>
      </w:r>
      <w:r w:rsidR="005B5577">
        <w:rPr>
          <w:rFonts w:eastAsia="Calibri" w:cstheme="minorBidi"/>
          <w:sz w:val="20"/>
          <w:szCs w:val="20"/>
        </w:rPr>
        <w:t>the</w:t>
      </w:r>
      <w:r w:rsidR="00921F3C">
        <w:rPr>
          <w:rFonts w:eastAsia="Calibri" w:cstheme="minorBidi"/>
          <w:sz w:val="20"/>
          <w:szCs w:val="20"/>
        </w:rPr>
        <w:t xml:space="preserve"> </w:t>
      </w:r>
      <w:r w:rsidR="00921F3C" w:rsidRPr="007B1C92">
        <w:rPr>
          <w:rFonts w:eastAsia="Calibri" w:cstheme="minorBidi"/>
          <w:sz w:val="20"/>
          <w:szCs w:val="20"/>
        </w:rPr>
        <w:t>advance share capital</w:t>
      </w:r>
      <w:r w:rsidR="009F5A7B" w:rsidRPr="009F5A7B">
        <w:rPr>
          <w:rFonts w:eastAsia="Calibri" w:cstheme="minorBidi"/>
          <w:sz w:val="20"/>
          <w:szCs w:val="20"/>
        </w:rPr>
        <w:t xml:space="preserve">. </w:t>
      </w:r>
      <w:r w:rsidR="000D44E6">
        <w:rPr>
          <w:rFonts w:eastAsia="Calibri" w:cstheme="minorBidi"/>
          <w:sz w:val="20"/>
          <w:szCs w:val="20"/>
        </w:rPr>
        <w:t>M</w:t>
      </w:r>
      <w:r w:rsidR="00E27387" w:rsidRPr="009F5A7B">
        <w:rPr>
          <w:rFonts w:eastAsia="Calibri" w:cstheme="minorBidi"/>
          <w:sz w:val="20"/>
          <w:szCs w:val="20"/>
        </w:rPr>
        <w:t xml:space="preserve">anagement cannot assess the expected recoverable </w:t>
      </w:r>
      <w:r w:rsidR="000D44E6">
        <w:rPr>
          <w:rFonts w:eastAsia="Calibri" w:cstheme="minorBidi"/>
          <w:sz w:val="20"/>
          <w:szCs w:val="20"/>
        </w:rPr>
        <w:t>amount</w:t>
      </w:r>
      <w:r w:rsidR="00E27387" w:rsidRPr="009F5A7B">
        <w:rPr>
          <w:rFonts w:eastAsia="Calibri" w:cstheme="minorBidi"/>
          <w:sz w:val="20"/>
          <w:szCs w:val="20"/>
        </w:rPr>
        <w:t xml:space="preserve"> of </w:t>
      </w:r>
      <w:r w:rsidR="005B5577" w:rsidRPr="005B5577">
        <w:rPr>
          <w:rFonts w:eastAsia="Calibri" w:cstheme="minorBidi"/>
          <w:sz w:val="20"/>
          <w:szCs w:val="20"/>
        </w:rPr>
        <w:t>this advance share capital</w:t>
      </w:r>
      <w:r w:rsidR="000D44E6" w:rsidRPr="005B5577">
        <w:rPr>
          <w:rFonts w:eastAsia="Calibri" w:cstheme="minorBidi"/>
          <w:sz w:val="20"/>
          <w:szCs w:val="20"/>
        </w:rPr>
        <w:t>.</w:t>
      </w:r>
      <w:r w:rsidR="00E27387" w:rsidRPr="005B5577">
        <w:rPr>
          <w:rFonts w:eastAsia="Calibri" w:cstheme="minorBidi"/>
          <w:sz w:val="20"/>
          <w:szCs w:val="20"/>
        </w:rPr>
        <w:t xml:space="preserve"> </w:t>
      </w:r>
      <w:r w:rsidR="000D44E6" w:rsidRPr="005B5577">
        <w:rPr>
          <w:rFonts w:eastAsia="Calibri" w:cstheme="minorBidi"/>
          <w:sz w:val="20"/>
          <w:szCs w:val="20"/>
        </w:rPr>
        <w:t>T</w:t>
      </w:r>
      <w:r w:rsidR="009F5A7B" w:rsidRPr="005B5577">
        <w:rPr>
          <w:rFonts w:eastAsia="Calibri" w:cstheme="minorBidi"/>
          <w:sz w:val="20"/>
          <w:szCs w:val="20"/>
        </w:rPr>
        <w:t xml:space="preserve">he subsidiary and </w:t>
      </w:r>
      <w:r w:rsidR="000D44E6" w:rsidRPr="005B5577">
        <w:rPr>
          <w:rFonts w:eastAsia="Calibri" w:cstheme="minorBidi"/>
          <w:sz w:val="20"/>
          <w:szCs w:val="20"/>
        </w:rPr>
        <w:t>the shareholder</w:t>
      </w:r>
      <w:r w:rsidR="00610C47" w:rsidRPr="005B5577">
        <w:rPr>
          <w:rFonts w:eastAsia="Calibri" w:cstheme="minorBidi"/>
          <w:sz w:val="20"/>
          <w:szCs w:val="20"/>
        </w:rPr>
        <w:t xml:space="preserve"> </w:t>
      </w:r>
      <w:r w:rsidR="000A16B3" w:rsidRPr="005B5577">
        <w:rPr>
          <w:rFonts w:eastAsia="Calibri" w:cstheme="minorBidi"/>
          <w:sz w:val="20"/>
          <w:szCs w:val="20"/>
        </w:rPr>
        <w:t xml:space="preserve">are </w:t>
      </w:r>
      <w:r w:rsidR="000D44E6" w:rsidRPr="005B5577">
        <w:rPr>
          <w:rFonts w:eastAsia="Calibri" w:cstheme="minorBidi"/>
          <w:sz w:val="20"/>
          <w:szCs w:val="20"/>
        </w:rPr>
        <w:t>in</w:t>
      </w:r>
      <w:r w:rsidR="000A16B3" w:rsidRPr="005B5577">
        <w:rPr>
          <w:rFonts w:eastAsia="Calibri" w:cstheme="minorBidi"/>
          <w:sz w:val="20"/>
          <w:szCs w:val="20"/>
        </w:rPr>
        <w:t xml:space="preserve"> legal dispute</w:t>
      </w:r>
      <w:r w:rsidR="000D44E6" w:rsidRPr="005B5577">
        <w:rPr>
          <w:rFonts w:eastAsia="Calibri" w:cstheme="minorBidi"/>
          <w:sz w:val="20"/>
          <w:szCs w:val="20"/>
        </w:rPr>
        <w:t>s</w:t>
      </w:r>
      <w:r w:rsidR="009F5A7B" w:rsidRPr="005B5577">
        <w:rPr>
          <w:rFonts w:eastAsia="Calibri" w:cstheme="minorBidi"/>
          <w:sz w:val="20"/>
          <w:szCs w:val="20"/>
        </w:rPr>
        <w:t>. Thus, the recoverable amount depends on the court's decision.</w:t>
      </w:r>
      <w:r w:rsidR="002A380F" w:rsidRPr="005B5577">
        <w:rPr>
          <w:rFonts w:eastAsia="Calibri"/>
          <w:color w:val="auto"/>
          <w:sz w:val="20"/>
          <w:szCs w:val="20"/>
        </w:rPr>
        <w:t xml:space="preserve"> I was unable to satisfy myself by alternative procedures regarding</w:t>
      </w:r>
      <w:r w:rsidR="009F5A7B" w:rsidRPr="005B5577">
        <w:rPr>
          <w:rFonts w:eastAsia="Calibri" w:cstheme="minorBidi"/>
          <w:sz w:val="20"/>
          <w:szCs w:val="20"/>
        </w:rPr>
        <w:t xml:space="preserve"> the value of </w:t>
      </w:r>
      <w:r w:rsidR="00037AEC" w:rsidRPr="003E00FB">
        <w:rPr>
          <w:rFonts w:eastAsia="Calibri" w:cstheme="minorBidi"/>
          <w:sz w:val="20"/>
          <w:szCs w:val="20"/>
        </w:rPr>
        <w:t>the advance share capital</w:t>
      </w:r>
      <w:r w:rsidR="009F5A7B" w:rsidRPr="005B5577">
        <w:rPr>
          <w:rFonts w:eastAsia="Calibri" w:cstheme="minorBidi"/>
          <w:sz w:val="20"/>
          <w:szCs w:val="20"/>
        </w:rPr>
        <w:t xml:space="preserve"> in the </w:t>
      </w:r>
      <w:r w:rsidR="002A380F" w:rsidRPr="005B5577">
        <w:rPr>
          <w:rFonts w:eastAsia="Calibri" w:cstheme="minorBidi"/>
          <w:sz w:val="20"/>
          <w:szCs w:val="20"/>
        </w:rPr>
        <w:t>consolidated</w:t>
      </w:r>
      <w:r w:rsidR="009F5A7B" w:rsidRPr="005B5577">
        <w:rPr>
          <w:rFonts w:eastAsia="Calibri" w:cstheme="minorBidi"/>
          <w:sz w:val="20"/>
          <w:szCs w:val="20"/>
        </w:rPr>
        <w:t xml:space="preserve"> financial statements. Therefore, I </w:t>
      </w:r>
      <w:r w:rsidR="002A380F" w:rsidRPr="005B5577">
        <w:rPr>
          <w:rFonts w:eastAsia="Calibri"/>
          <w:color w:val="auto"/>
          <w:sz w:val="20"/>
          <w:szCs w:val="20"/>
        </w:rPr>
        <w:t xml:space="preserve">was unable to determine whether any adjustments were </w:t>
      </w:r>
      <w:r w:rsidR="009F5A7B" w:rsidRPr="005B5577">
        <w:rPr>
          <w:rFonts w:eastAsia="Calibri" w:cstheme="minorBidi"/>
          <w:sz w:val="20"/>
          <w:szCs w:val="20"/>
        </w:rPr>
        <w:t>necessary</w:t>
      </w:r>
      <w:r w:rsidR="002A380F" w:rsidRPr="005B5577">
        <w:rPr>
          <w:rFonts w:eastAsia="Calibri" w:cstheme="minorBidi"/>
          <w:sz w:val="20"/>
          <w:szCs w:val="20"/>
        </w:rPr>
        <w:t xml:space="preserve"> to this</w:t>
      </w:r>
      <w:r w:rsidR="000D44E6" w:rsidRPr="005B5577">
        <w:rPr>
          <w:rFonts w:eastAsia="Calibri" w:cstheme="minorBidi"/>
          <w:sz w:val="20"/>
          <w:szCs w:val="20"/>
        </w:rPr>
        <w:t xml:space="preserve"> </w:t>
      </w:r>
      <w:r w:rsidR="000D44E6" w:rsidRPr="003E00FB">
        <w:rPr>
          <w:rFonts w:eastAsia="Calibri" w:cstheme="minorBidi"/>
          <w:sz w:val="20"/>
          <w:szCs w:val="20"/>
        </w:rPr>
        <w:t>advance share capital</w:t>
      </w:r>
      <w:r w:rsidR="002A380F" w:rsidRPr="003E00FB">
        <w:rPr>
          <w:rFonts w:eastAsia="Calibri" w:cstheme="minorBidi"/>
          <w:sz w:val="20"/>
          <w:szCs w:val="20"/>
        </w:rPr>
        <w:t>.</w:t>
      </w:r>
    </w:p>
    <w:p w14:paraId="7D71B7DC" w14:textId="77777777" w:rsidR="00A561F4" w:rsidRDefault="00A561F4" w:rsidP="00D643D5">
      <w:pPr>
        <w:pStyle w:val="Default"/>
        <w:jc w:val="thaiDistribute"/>
        <w:rPr>
          <w:rFonts w:eastAsia="Calibri" w:cstheme="minorBidi"/>
          <w:sz w:val="20"/>
          <w:szCs w:val="20"/>
        </w:rPr>
      </w:pPr>
    </w:p>
    <w:p w14:paraId="7F1E48A0" w14:textId="27FB77B2" w:rsidR="00D643D5" w:rsidRPr="006F4CC7" w:rsidRDefault="00D643D5" w:rsidP="00D643D5">
      <w:pPr>
        <w:pStyle w:val="Default"/>
        <w:jc w:val="thaiDistribute"/>
        <w:rPr>
          <w:rFonts w:eastAsia="Calibri"/>
          <w:sz w:val="20"/>
          <w:szCs w:val="20"/>
        </w:rPr>
      </w:pPr>
      <w:r w:rsidRPr="006F4CC7">
        <w:rPr>
          <w:rFonts w:eastAsia="Calibri"/>
          <w:sz w:val="20"/>
          <w:szCs w:val="20"/>
        </w:rPr>
        <w:t xml:space="preserve">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w:t>
      </w:r>
      <w:r w:rsidR="00D51D87">
        <w:rPr>
          <w:rFonts w:eastAsia="Calibri"/>
          <w:sz w:val="20"/>
          <w:szCs w:val="20"/>
        </w:rPr>
        <w:t xml:space="preserve">qualified </w:t>
      </w:r>
      <w:r w:rsidRPr="006F4CC7">
        <w:rPr>
          <w:rFonts w:eastAsia="Calibri"/>
          <w:sz w:val="20"/>
          <w:szCs w:val="20"/>
        </w:rPr>
        <w:t xml:space="preserve">opinion. </w:t>
      </w:r>
    </w:p>
    <w:p w14:paraId="47D51D62" w14:textId="77777777" w:rsidR="00D643D5" w:rsidRPr="006F4CC7" w:rsidRDefault="00D643D5" w:rsidP="00D643D5">
      <w:pPr>
        <w:pStyle w:val="Default"/>
        <w:jc w:val="thaiDistribute"/>
        <w:rPr>
          <w:b/>
          <w:bCs/>
          <w:sz w:val="20"/>
          <w:szCs w:val="20"/>
        </w:rPr>
      </w:pPr>
    </w:p>
    <w:p w14:paraId="2CA4D64E" w14:textId="77777777" w:rsidR="0074245B" w:rsidRDefault="0074245B" w:rsidP="006F12F1">
      <w:pPr>
        <w:pStyle w:val="Default"/>
        <w:jc w:val="thaiDistribute"/>
        <w:rPr>
          <w:rFonts w:eastAsia="Calibri"/>
          <w:b/>
          <w:bCs/>
          <w:sz w:val="20"/>
          <w:szCs w:val="20"/>
        </w:rPr>
      </w:pPr>
    </w:p>
    <w:p w14:paraId="5D672DEF" w14:textId="77777777" w:rsidR="000A16B3" w:rsidRDefault="000A16B3" w:rsidP="006F12F1">
      <w:pPr>
        <w:pStyle w:val="Default"/>
        <w:jc w:val="thaiDistribute"/>
        <w:rPr>
          <w:rFonts w:eastAsia="Calibri"/>
          <w:b/>
          <w:bCs/>
          <w:sz w:val="20"/>
          <w:szCs w:val="20"/>
        </w:rPr>
      </w:pPr>
    </w:p>
    <w:p w14:paraId="49CCE81F" w14:textId="77777777" w:rsidR="000A16B3" w:rsidRDefault="000A16B3" w:rsidP="006F12F1">
      <w:pPr>
        <w:pStyle w:val="Default"/>
        <w:jc w:val="thaiDistribute"/>
        <w:rPr>
          <w:rFonts w:eastAsia="Calibri"/>
          <w:b/>
          <w:bCs/>
          <w:sz w:val="20"/>
          <w:szCs w:val="20"/>
        </w:rPr>
      </w:pPr>
    </w:p>
    <w:p w14:paraId="2C17D7F1" w14:textId="77777777" w:rsidR="009B538A" w:rsidRDefault="009B538A" w:rsidP="006F12F1">
      <w:pPr>
        <w:pStyle w:val="Default"/>
        <w:jc w:val="thaiDistribute"/>
        <w:rPr>
          <w:rFonts w:eastAsia="Calibri"/>
          <w:b/>
          <w:bCs/>
          <w:sz w:val="20"/>
          <w:szCs w:val="20"/>
        </w:rPr>
      </w:pPr>
    </w:p>
    <w:p w14:paraId="0A120E0B" w14:textId="77777777" w:rsidR="007B1C92" w:rsidRDefault="007B1C92" w:rsidP="006F12F1">
      <w:pPr>
        <w:pStyle w:val="Default"/>
        <w:jc w:val="thaiDistribute"/>
        <w:rPr>
          <w:rFonts w:eastAsia="Calibri"/>
          <w:b/>
          <w:bCs/>
          <w:sz w:val="20"/>
          <w:szCs w:val="20"/>
        </w:rPr>
      </w:pPr>
    </w:p>
    <w:p w14:paraId="530AE7FA" w14:textId="77777777" w:rsidR="007B1C92" w:rsidRDefault="007B1C92" w:rsidP="006F12F1">
      <w:pPr>
        <w:pStyle w:val="Default"/>
        <w:jc w:val="thaiDistribute"/>
        <w:rPr>
          <w:rFonts w:eastAsia="Calibri"/>
          <w:b/>
          <w:bCs/>
          <w:sz w:val="20"/>
          <w:szCs w:val="20"/>
        </w:rPr>
      </w:pPr>
    </w:p>
    <w:p w14:paraId="58CC54FF" w14:textId="77777777" w:rsidR="000A16B3" w:rsidRDefault="000A16B3" w:rsidP="006F12F1">
      <w:pPr>
        <w:pStyle w:val="Default"/>
        <w:jc w:val="thaiDistribute"/>
        <w:rPr>
          <w:rFonts w:eastAsia="Calibri"/>
          <w:b/>
          <w:bCs/>
          <w:sz w:val="20"/>
          <w:szCs w:val="20"/>
        </w:rPr>
      </w:pPr>
    </w:p>
    <w:p w14:paraId="16E8E177" w14:textId="01F9AADC" w:rsidR="00D643D5" w:rsidRDefault="007656E2" w:rsidP="006F12F1">
      <w:pPr>
        <w:pStyle w:val="Default"/>
        <w:jc w:val="thaiDistribute"/>
        <w:rPr>
          <w:rFonts w:eastAsia="Calibri"/>
          <w:b/>
          <w:bCs/>
          <w:sz w:val="20"/>
          <w:szCs w:val="20"/>
        </w:rPr>
      </w:pPr>
      <w:r>
        <w:rPr>
          <w:rFonts w:eastAsia="Calibri"/>
          <w:b/>
          <w:bCs/>
          <w:sz w:val="20"/>
          <w:szCs w:val="20"/>
        </w:rPr>
        <w:t>Emphasis of matter</w:t>
      </w:r>
    </w:p>
    <w:p w14:paraId="4517E231" w14:textId="77777777" w:rsidR="0074245B" w:rsidRDefault="0074245B" w:rsidP="006F12F1">
      <w:pPr>
        <w:pStyle w:val="Default"/>
        <w:jc w:val="thaiDistribute"/>
        <w:rPr>
          <w:rFonts w:eastAsia="Calibri"/>
          <w:b/>
          <w:bCs/>
          <w:sz w:val="20"/>
          <w:szCs w:val="20"/>
        </w:rPr>
      </w:pPr>
    </w:p>
    <w:p w14:paraId="68AC1111" w14:textId="5F533B4A" w:rsidR="0074245B" w:rsidRDefault="0074245B" w:rsidP="0074245B">
      <w:pPr>
        <w:pStyle w:val="Default"/>
        <w:jc w:val="both"/>
        <w:rPr>
          <w:rFonts w:eastAsia="Calibri"/>
          <w:color w:val="auto"/>
          <w:sz w:val="20"/>
          <w:szCs w:val="20"/>
        </w:rPr>
      </w:pPr>
      <w:r w:rsidRPr="00DE7A2C">
        <w:rPr>
          <w:rFonts w:eastAsia="Calibri"/>
          <w:color w:val="auto"/>
          <w:sz w:val="20"/>
          <w:szCs w:val="20"/>
        </w:rPr>
        <w:t xml:space="preserve">I draw attention to Note 2 to the financial statements </w:t>
      </w:r>
      <w:r w:rsidRPr="0074245B">
        <w:rPr>
          <w:rFonts w:eastAsia="Calibri"/>
          <w:sz w:val="20"/>
          <w:szCs w:val="20"/>
        </w:rPr>
        <w:t>regarding</w:t>
      </w:r>
      <w:r w:rsidRPr="00DE7A2C">
        <w:rPr>
          <w:rFonts w:eastAsia="Calibri"/>
          <w:color w:val="auto"/>
          <w:sz w:val="20"/>
          <w:szCs w:val="20"/>
        </w:rPr>
        <w:t xml:space="preserve"> going concern</w:t>
      </w:r>
      <w:r w:rsidR="00C515E6">
        <w:rPr>
          <w:rFonts w:eastAsia="Calibri"/>
          <w:color w:val="auto"/>
          <w:sz w:val="20"/>
          <w:szCs w:val="20"/>
        </w:rPr>
        <w:t>,</w:t>
      </w:r>
      <w:r w:rsidRPr="00DE7A2C">
        <w:rPr>
          <w:rFonts w:eastAsia="Calibri"/>
          <w:color w:val="auto"/>
          <w:sz w:val="20"/>
          <w:szCs w:val="20"/>
        </w:rPr>
        <w:t xml:space="preserve"> which describes that as of </w:t>
      </w:r>
      <w:r w:rsidRPr="00DE7A2C">
        <w:rPr>
          <w:rFonts w:eastAsia="Calibri"/>
          <w:color w:val="auto"/>
          <w:sz w:val="20"/>
          <w:szCs w:val="20"/>
        </w:rPr>
        <w:br/>
        <w:t xml:space="preserve">31 </w:t>
      </w:r>
      <w:r w:rsidRPr="00FC7AA4">
        <w:rPr>
          <w:rFonts w:eastAsia="Calibri"/>
          <w:color w:val="auto"/>
          <w:sz w:val="20"/>
          <w:szCs w:val="20"/>
        </w:rPr>
        <w:t xml:space="preserve">December 2024, the Group and the Company have current liabilities exceeding current assets amounting </w:t>
      </w:r>
      <w:bookmarkStart w:id="1" w:name="_Hlk181607290"/>
      <w:r w:rsidRPr="00FC7AA4">
        <w:rPr>
          <w:rFonts w:eastAsia="Calibri"/>
          <w:color w:val="auto"/>
          <w:sz w:val="20"/>
          <w:szCs w:val="20"/>
        </w:rPr>
        <w:t>to</w:t>
      </w:r>
      <w:bookmarkStart w:id="2" w:name="_Hlk182253207"/>
      <w:r w:rsidRPr="00FC7AA4">
        <w:rPr>
          <w:rFonts w:eastAsia="Calibri"/>
          <w:color w:val="auto"/>
          <w:sz w:val="20"/>
          <w:szCs w:val="20"/>
        </w:rPr>
        <w:t xml:space="preserve"> Baht </w:t>
      </w:r>
      <w:bookmarkEnd w:id="1"/>
      <w:r w:rsidR="00723ADF" w:rsidRPr="00FC7AA4">
        <w:rPr>
          <w:rFonts w:eastAsia="Calibri"/>
          <w:color w:val="auto"/>
          <w:sz w:val="20"/>
          <w:szCs w:val="20"/>
        </w:rPr>
        <w:t>2,197.08</w:t>
      </w:r>
      <w:r w:rsidRPr="00FC7AA4">
        <w:rPr>
          <w:rFonts w:eastAsia="Calibri"/>
          <w:color w:val="auto"/>
          <w:sz w:val="20"/>
          <w:szCs w:val="20"/>
        </w:rPr>
        <w:t xml:space="preserve"> million and Baht </w:t>
      </w:r>
      <w:r w:rsidR="00723ADF" w:rsidRPr="00FC7AA4">
        <w:rPr>
          <w:rFonts w:eastAsia="Calibri"/>
          <w:color w:val="auto"/>
          <w:sz w:val="20"/>
          <w:szCs w:val="20"/>
        </w:rPr>
        <w:t>1,890.13</w:t>
      </w:r>
      <w:r w:rsidRPr="00FC7AA4">
        <w:rPr>
          <w:rFonts w:eastAsia="Calibri"/>
          <w:color w:val="auto"/>
          <w:sz w:val="20"/>
          <w:szCs w:val="20"/>
        </w:rPr>
        <w:t xml:space="preserve"> million, respectively. </w:t>
      </w:r>
      <w:r w:rsidR="00435E21" w:rsidRPr="00435E21">
        <w:rPr>
          <w:rFonts w:eastAsia="Calibri"/>
          <w:color w:val="auto"/>
          <w:sz w:val="20"/>
          <w:szCs w:val="20"/>
        </w:rPr>
        <w:t xml:space="preserve">The Company has deficits amounting to Baht 723.44 million. </w:t>
      </w:r>
      <w:r w:rsidRPr="00FC7AA4">
        <w:rPr>
          <w:rFonts w:eastAsia="Calibri"/>
          <w:color w:val="auto"/>
          <w:sz w:val="20"/>
          <w:szCs w:val="20"/>
        </w:rPr>
        <w:t xml:space="preserve">In addition, the Group and the Company have net loss for the year then ended amounting to Baht </w:t>
      </w:r>
      <w:r w:rsidR="00723ADF" w:rsidRPr="00FC7AA4">
        <w:rPr>
          <w:rFonts w:eastAsia="Calibri" w:cs="Browallia New"/>
          <w:color w:val="auto"/>
          <w:sz w:val="20"/>
          <w:szCs w:val="25"/>
          <w:lang w:val="en-US"/>
        </w:rPr>
        <w:t>186.39</w:t>
      </w:r>
      <w:r w:rsidRPr="00FC7AA4">
        <w:rPr>
          <w:rFonts w:eastAsia="Calibri"/>
          <w:color w:val="auto"/>
          <w:sz w:val="20"/>
          <w:szCs w:val="20"/>
        </w:rPr>
        <w:t xml:space="preserve"> million and Baht 96.71 million, </w:t>
      </w:r>
      <w:r w:rsidRPr="00FC7AA4">
        <w:rPr>
          <w:rFonts w:eastAsia="Calibri"/>
          <w:color w:val="auto"/>
          <w:spacing w:val="-4"/>
          <w:sz w:val="20"/>
          <w:szCs w:val="20"/>
        </w:rPr>
        <w:t>respectively</w:t>
      </w:r>
      <w:bookmarkEnd w:id="2"/>
      <w:r w:rsidRPr="00FC7AA4">
        <w:rPr>
          <w:rFonts w:eastAsia="Calibri"/>
          <w:color w:val="auto"/>
          <w:spacing w:val="-4"/>
          <w:sz w:val="20"/>
          <w:szCs w:val="20"/>
        </w:rPr>
        <w:t xml:space="preserve">. </w:t>
      </w:r>
      <w:r w:rsidRPr="00FC7AA4">
        <w:rPr>
          <w:rFonts w:eastAsia="Calibri"/>
          <w:color w:val="auto"/>
          <w:sz w:val="20"/>
          <w:szCs w:val="20"/>
        </w:rPr>
        <w:t>In addition, the Company ha</w:t>
      </w:r>
      <w:r w:rsidR="002606BE" w:rsidRPr="00FC7AA4">
        <w:rPr>
          <w:rFonts w:eastAsia="Calibri"/>
          <w:color w:val="auto"/>
          <w:sz w:val="20"/>
          <w:szCs w:val="20"/>
        </w:rPr>
        <w:t>s</w:t>
      </w:r>
      <w:r w:rsidRPr="00FC7AA4">
        <w:rPr>
          <w:rFonts w:eastAsia="Calibri"/>
          <w:color w:val="auto"/>
          <w:sz w:val="20"/>
          <w:szCs w:val="20"/>
        </w:rPr>
        <w:t xml:space="preserve"> debentures maturing in 2025 </w:t>
      </w:r>
      <w:r w:rsidR="00A62FD6">
        <w:rPr>
          <w:rFonts w:eastAsia="Calibri"/>
          <w:color w:val="auto"/>
          <w:sz w:val="20"/>
          <w:szCs w:val="20"/>
        </w:rPr>
        <w:t>amounting to</w:t>
      </w:r>
      <w:r w:rsidRPr="00FC7AA4">
        <w:rPr>
          <w:rFonts w:eastAsia="Calibri"/>
          <w:color w:val="auto"/>
          <w:sz w:val="20"/>
          <w:szCs w:val="20"/>
        </w:rPr>
        <w:t xml:space="preserve"> Baht </w:t>
      </w:r>
      <w:r w:rsidR="003D6EE3">
        <w:rPr>
          <w:rFonts w:eastAsia="Calibri"/>
          <w:color w:val="auto"/>
          <w:sz w:val="20"/>
          <w:szCs w:val="20"/>
        </w:rPr>
        <w:t>2,049.50</w:t>
      </w:r>
      <w:r w:rsidR="00896251" w:rsidRPr="00896251">
        <w:rPr>
          <w:rFonts w:eastAsia="Calibri"/>
          <w:color w:val="auto"/>
          <w:sz w:val="20"/>
          <w:szCs w:val="20"/>
        </w:rPr>
        <w:t xml:space="preserve"> </w:t>
      </w:r>
      <w:r w:rsidRPr="0074245B">
        <w:rPr>
          <w:rFonts w:eastAsia="Calibri"/>
          <w:color w:val="auto"/>
          <w:sz w:val="20"/>
          <w:szCs w:val="20"/>
        </w:rPr>
        <w:t>million. Although subsequent</w:t>
      </w:r>
      <w:r>
        <w:rPr>
          <w:rFonts w:eastAsia="Calibri"/>
          <w:color w:val="auto"/>
          <w:sz w:val="20"/>
          <w:szCs w:val="20"/>
        </w:rPr>
        <w:t xml:space="preserve"> event after </w:t>
      </w:r>
      <w:r w:rsidR="002606BE">
        <w:rPr>
          <w:rFonts w:eastAsia="Calibri"/>
          <w:color w:val="auto"/>
          <w:sz w:val="20"/>
          <w:szCs w:val="20"/>
        </w:rPr>
        <w:t xml:space="preserve">the </w:t>
      </w:r>
      <w:r>
        <w:rPr>
          <w:rFonts w:eastAsia="Calibri"/>
          <w:color w:val="auto"/>
          <w:sz w:val="20"/>
          <w:szCs w:val="20"/>
        </w:rPr>
        <w:t>reporting date</w:t>
      </w:r>
      <w:r w:rsidRPr="0074245B">
        <w:rPr>
          <w:rFonts w:eastAsia="Calibri"/>
          <w:color w:val="auto"/>
          <w:sz w:val="20"/>
          <w:szCs w:val="20"/>
        </w:rPr>
        <w:t xml:space="preserve">, </w:t>
      </w:r>
      <w:r w:rsidRPr="00DE7A2C">
        <w:rPr>
          <w:rFonts w:eastAsia="Calibri"/>
          <w:color w:val="auto"/>
          <w:sz w:val="20"/>
          <w:szCs w:val="20"/>
        </w:rPr>
        <w:t xml:space="preserve">the Company </w:t>
      </w:r>
      <w:r w:rsidRPr="0074245B">
        <w:rPr>
          <w:rFonts w:eastAsia="Calibri"/>
          <w:color w:val="auto"/>
          <w:sz w:val="20"/>
          <w:szCs w:val="20"/>
        </w:rPr>
        <w:t xml:space="preserve">received approval from the debenture holders meeting </w:t>
      </w:r>
      <w:r>
        <w:rPr>
          <w:rFonts w:eastAsia="Calibri"/>
          <w:color w:val="auto"/>
          <w:sz w:val="20"/>
          <w:szCs w:val="20"/>
        </w:rPr>
        <w:t>for an</w:t>
      </w:r>
      <w:r w:rsidRPr="006F4CC7">
        <w:rPr>
          <w:rFonts w:eastAsia="Calibri"/>
          <w:sz w:val="20"/>
          <w:szCs w:val="20"/>
        </w:rPr>
        <w:t xml:space="preserve"> extension of the bond redemption maturit</w:t>
      </w:r>
      <w:r w:rsidR="002458EA">
        <w:rPr>
          <w:rFonts w:eastAsia="Calibri"/>
          <w:sz w:val="20"/>
          <w:szCs w:val="20"/>
        </w:rPr>
        <w:t>ies</w:t>
      </w:r>
      <w:r w:rsidRPr="006F4CC7">
        <w:rPr>
          <w:rFonts w:eastAsia="Calibri"/>
          <w:sz w:val="20"/>
          <w:szCs w:val="20"/>
        </w:rPr>
        <w:t xml:space="preserve"> from the original due date</w:t>
      </w:r>
      <w:r>
        <w:rPr>
          <w:rFonts w:eastAsia="Calibri"/>
          <w:color w:val="auto"/>
          <w:sz w:val="20"/>
          <w:szCs w:val="20"/>
        </w:rPr>
        <w:t xml:space="preserve"> by</w:t>
      </w:r>
      <w:r w:rsidRPr="0074245B">
        <w:rPr>
          <w:rFonts w:eastAsia="Calibri"/>
          <w:color w:val="auto"/>
          <w:sz w:val="20"/>
          <w:szCs w:val="20"/>
        </w:rPr>
        <w:t xml:space="preserve"> repayments </w:t>
      </w:r>
      <w:r>
        <w:rPr>
          <w:rFonts w:eastAsia="Calibri"/>
          <w:color w:val="auto"/>
          <w:sz w:val="20"/>
          <w:szCs w:val="20"/>
        </w:rPr>
        <w:t xml:space="preserve">amounting to Baht </w:t>
      </w:r>
      <w:r w:rsidR="00896251" w:rsidRPr="00896251">
        <w:rPr>
          <w:rFonts w:eastAsia="Calibri"/>
          <w:color w:val="auto"/>
          <w:sz w:val="20"/>
          <w:szCs w:val="20"/>
        </w:rPr>
        <w:t xml:space="preserve">670.08 </w:t>
      </w:r>
      <w:r w:rsidRPr="0074245B">
        <w:rPr>
          <w:rFonts w:eastAsia="Calibri"/>
          <w:color w:val="auto"/>
          <w:sz w:val="20"/>
          <w:szCs w:val="20"/>
        </w:rPr>
        <w:t>millio</w:t>
      </w:r>
      <w:r>
        <w:rPr>
          <w:rFonts w:eastAsia="Calibri"/>
          <w:color w:val="auto"/>
          <w:sz w:val="20"/>
          <w:szCs w:val="20"/>
        </w:rPr>
        <w:t>n</w:t>
      </w:r>
      <w:r w:rsidRPr="0074245B">
        <w:rPr>
          <w:rFonts w:eastAsia="Calibri"/>
          <w:color w:val="auto"/>
          <w:sz w:val="20"/>
          <w:szCs w:val="20"/>
        </w:rPr>
        <w:t xml:space="preserve"> in 2025 and the remaining</w:t>
      </w:r>
      <w:r>
        <w:rPr>
          <w:rFonts w:eastAsia="Calibri"/>
          <w:color w:val="auto"/>
          <w:sz w:val="20"/>
          <w:szCs w:val="20"/>
        </w:rPr>
        <w:t xml:space="preserve"> of Baht </w:t>
      </w:r>
      <w:r w:rsidR="00896251" w:rsidRPr="00896251">
        <w:rPr>
          <w:rFonts w:eastAsia="Calibri"/>
          <w:color w:val="auto"/>
          <w:sz w:val="20"/>
          <w:szCs w:val="20"/>
        </w:rPr>
        <w:t xml:space="preserve">1,379.42 </w:t>
      </w:r>
      <w:r w:rsidRPr="0074245B">
        <w:rPr>
          <w:rFonts w:eastAsia="Calibri"/>
          <w:color w:val="auto"/>
          <w:sz w:val="20"/>
          <w:szCs w:val="20"/>
        </w:rPr>
        <w:t xml:space="preserve">million in </w:t>
      </w:r>
      <w:r>
        <w:rPr>
          <w:rFonts w:eastAsia="Calibri"/>
          <w:color w:val="auto"/>
          <w:sz w:val="20"/>
          <w:szCs w:val="20"/>
        </w:rPr>
        <w:t xml:space="preserve">2026 </w:t>
      </w:r>
      <w:r w:rsidRPr="00DE7A2C">
        <w:rPr>
          <w:rFonts w:eastAsia="Calibri"/>
          <w:color w:val="auto"/>
          <w:sz w:val="20"/>
          <w:szCs w:val="20"/>
        </w:rPr>
        <w:t xml:space="preserve">as mentioned in Note 39 of the events after the financial statement date. </w:t>
      </w:r>
      <w:r w:rsidR="00C515E6">
        <w:rPr>
          <w:rFonts w:eastAsia="Calibri"/>
          <w:color w:val="auto"/>
          <w:sz w:val="20"/>
          <w:szCs w:val="20"/>
        </w:rPr>
        <w:t>T</w:t>
      </w:r>
      <w:r w:rsidRPr="006F4CC7">
        <w:rPr>
          <w:rFonts w:eastAsia="Calibri"/>
          <w:sz w:val="20"/>
          <w:szCs w:val="20"/>
        </w:rPr>
        <w:t xml:space="preserve">he continued operations of the Group and the Company depend on the success plan of source of fund to repayment for the liabilities and </w:t>
      </w:r>
      <w:r w:rsidRPr="0074245B">
        <w:rPr>
          <w:rFonts w:eastAsia="Calibri"/>
          <w:color w:val="auto"/>
          <w:sz w:val="20"/>
          <w:szCs w:val="20"/>
        </w:rPr>
        <w:t xml:space="preserve">to support the business operations as the details disclosed in Note 2. </w:t>
      </w:r>
      <w:proofErr w:type="gramStart"/>
      <w:r w:rsidRPr="0074245B">
        <w:rPr>
          <w:rFonts w:eastAsia="Calibri"/>
          <w:color w:val="auto"/>
          <w:sz w:val="20"/>
          <w:szCs w:val="20"/>
        </w:rPr>
        <w:t xml:space="preserve">My </w:t>
      </w:r>
      <w:r w:rsidR="00D31FA4">
        <w:rPr>
          <w:rFonts w:eastAsia="Calibri"/>
          <w:color w:val="auto"/>
          <w:sz w:val="20"/>
          <w:szCs w:val="20"/>
        </w:rPr>
        <w:t>opinion</w:t>
      </w:r>
      <w:r w:rsidRPr="0074245B">
        <w:rPr>
          <w:rFonts w:eastAsia="Calibri"/>
          <w:color w:val="auto"/>
          <w:sz w:val="20"/>
          <w:szCs w:val="20"/>
        </w:rPr>
        <w:t xml:space="preserve"> is not</w:t>
      </w:r>
      <w:proofErr w:type="gramEnd"/>
      <w:r w:rsidRPr="0074245B">
        <w:rPr>
          <w:rFonts w:eastAsia="Calibri"/>
          <w:color w:val="auto"/>
          <w:sz w:val="20"/>
          <w:szCs w:val="20"/>
        </w:rPr>
        <w:t xml:space="preserve"> modified in respect of this matter.</w:t>
      </w:r>
    </w:p>
    <w:p w14:paraId="6CE7D1E8" w14:textId="77777777" w:rsidR="00C515E6" w:rsidRPr="0074245B" w:rsidRDefault="00C515E6" w:rsidP="0074245B">
      <w:pPr>
        <w:pStyle w:val="Default"/>
        <w:jc w:val="both"/>
        <w:rPr>
          <w:rFonts w:eastAsia="Calibri"/>
          <w:color w:val="auto"/>
          <w:sz w:val="20"/>
          <w:szCs w:val="20"/>
        </w:rPr>
      </w:pPr>
    </w:p>
    <w:p w14:paraId="261AAEAE" w14:textId="77777777" w:rsidR="0074245B" w:rsidRDefault="0074245B" w:rsidP="006F12F1">
      <w:pPr>
        <w:pStyle w:val="Default"/>
        <w:jc w:val="thaiDistribute"/>
        <w:rPr>
          <w:rFonts w:eastAsia="Calibri"/>
          <w:b/>
          <w:bCs/>
          <w:sz w:val="20"/>
          <w:szCs w:val="20"/>
        </w:rPr>
      </w:pPr>
    </w:p>
    <w:p w14:paraId="126DD47E" w14:textId="6F438EF4" w:rsidR="006810EB" w:rsidRPr="006F4CC7" w:rsidRDefault="006810EB" w:rsidP="006F12F1">
      <w:pPr>
        <w:pStyle w:val="Default"/>
        <w:jc w:val="thaiDistribute"/>
        <w:rPr>
          <w:rFonts w:eastAsia="Calibri"/>
          <w:b/>
          <w:bCs/>
          <w:sz w:val="20"/>
          <w:szCs w:val="20"/>
        </w:rPr>
      </w:pPr>
      <w:r w:rsidRPr="006F4CC7">
        <w:rPr>
          <w:rFonts w:eastAsia="Calibri"/>
          <w:b/>
          <w:bCs/>
          <w:sz w:val="20"/>
          <w:szCs w:val="20"/>
        </w:rPr>
        <w:t>Key audit matters</w:t>
      </w:r>
    </w:p>
    <w:p w14:paraId="1A7DABD6" w14:textId="77777777" w:rsidR="008533AD" w:rsidRPr="006F4CC7" w:rsidRDefault="008533AD" w:rsidP="006F12F1">
      <w:pPr>
        <w:pStyle w:val="Default"/>
        <w:jc w:val="thaiDistribute"/>
        <w:rPr>
          <w:rFonts w:eastAsia="Calibri"/>
          <w:b/>
          <w:bCs/>
          <w:sz w:val="12"/>
          <w:szCs w:val="12"/>
        </w:rPr>
      </w:pPr>
    </w:p>
    <w:p w14:paraId="037CF02F" w14:textId="7CECF8C5" w:rsidR="000A16B3" w:rsidRDefault="00BB3DED" w:rsidP="00572678">
      <w:pPr>
        <w:pStyle w:val="Default"/>
        <w:jc w:val="thaiDistribute"/>
        <w:rPr>
          <w:rFonts w:eastAsia="Calibri"/>
          <w:sz w:val="20"/>
          <w:szCs w:val="20"/>
        </w:rPr>
      </w:pPr>
      <w:r w:rsidRPr="006F4CC7">
        <w:rPr>
          <w:rFonts w:eastAsia="Calibri"/>
          <w:sz w:val="20"/>
          <w:szCs w:val="20"/>
        </w:rPr>
        <w:t xml:space="preserve">Key audit matters are those matters that, in my professional judgement, were of most significance in my audit of the consolidated and separate financial statements of the current period. </w:t>
      </w:r>
      <w:r w:rsidR="00D51D87" w:rsidRPr="00C04133">
        <w:rPr>
          <w:color w:val="auto"/>
          <w:spacing w:val="-4"/>
          <w:sz w:val="20"/>
          <w:szCs w:val="20"/>
        </w:rPr>
        <w:t>In addition to the matter</w:t>
      </w:r>
      <w:r w:rsidR="00D51D87">
        <w:rPr>
          <w:color w:val="auto"/>
          <w:spacing w:val="-4"/>
          <w:sz w:val="20"/>
          <w:szCs w:val="20"/>
        </w:rPr>
        <w:t>s</w:t>
      </w:r>
      <w:r w:rsidR="00D51D87" w:rsidRPr="00C04133">
        <w:rPr>
          <w:color w:val="auto"/>
          <w:spacing w:val="-4"/>
          <w:sz w:val="20"/>
          <w:szCs w:val="20"/>
        </w:rPr>
        <w:t xml:space="preserve"> described in the </w:t>
      </w:r>
      <w:r w:rsidR="00D51D87">
        <w:rPr>
          <w:color w:val="auto"/>
          <w:spacing w:val="-4"/>
          <w:sz w:val="20"/>
          <w:szCs w:val="20"/>
        </w:rPr>
        <w:t>basis for qualified opinion section</w:t>
      </w:r>
      <w:r w:rsidR="00D51D87" w:rsidRPr="00C04133">
        <w:rPr>
          <w:color w:val="auto"/>
          <w:spacing w:val="-4"/>
          <w:sz w:val="20"/>
          <w:szCs w:val="20"/>
        </w:rPr>
        <w:t>,</w:t>
      </w:r>
      <w:r w:rsidR="00D51D87">
        <w:rPr>
          <w:color w:val="auto"/>
          <w:spacing w:val="-4"/>
          <w:sz w:val="18"/>
          <w:szCs w:val="18"/>
        </w:rPr>
        <w:t xml:space="preserve"> </w:t>
      </w:r>
      <w:r w:rsidR="0051721D" w:rsidRPr="006F4CC7">
        <w:rPr>
          <w:rFonts w:eastAsia="Calibri"/>
          <w:sz w:val="20"/>
          <w:szCs w:val="20"/>
        </w:rPr>
        <w:t xml:space="preserve">I determined a key audit matter: </w:t>
      </w:r>
      <w:r w:rsidR="000216EE" w:rsidRPr="006F4CC7">
        <w:rPr>
          <w:rFonts w:eastAsia="Calibri"/>
          <w:sz w:val="20"/>
          <w:szCs w:val="20"/>
        </w:rPr>
        <w:t>sale of</w:t>
      </w:r>
      <w:r w:rsidR="0051721D" w:rsidRPr="006F4CC7">
        <w:rPr>
          <w:rFonts w:eastAsia="Calibri"/>
          <w:sz w:val="20"/>
          <w:szCs w:val="20"/>
        </w:rPr>
        <w:t xml:space="preserve"> investment</w:t>
      </w:r>
      <w:r w:rsidR="000216EE" w:rsidRPr="006F4CC7">
        <w:rPr>
          <w:rFonts w:eastAsia="Calibri"/>
          <w:sz w:val="20"/>
          <w:szCs w:val="20"/>
        </w:rPr>
        <w:t xml:space="preserve"> in subsidiaries</w:t>
      </w:r>
      <w:r w:rsidR="0051721D" w:rsidRPr="006F4CC7">
        <w:rPr>
          <w:rFonts w:eastAsia="Calibri"/>
          <w:sz w:val="20"/>
          <w:szCs w:val="20"/>
        </w:rPr>
        <w:t xml:space="preserve">. </w:t>
      </w:r>
      <w:r w:rsidRPr="006F4CC7">
        <w:rPr>
          <w:rFonts w:eastAsia="Calibri"/>
          <w:sz w:val="20"/>
          <w:szCs w:val="20"/>
        </w:rPr>
        <w:t>The</w:t>
      </w:r>
      <w:r w:rsidR="00D51D87">
        <w:rPr>
          <w:rFonts w:eastAsia="Calibri"/>
          <w:sz w:val="20"/>
          <w:szCs w:val="20"/>
        </w:rPr>
        <w:t>se</w:t>
      </w:r>
      <w:r w:rsidRPr="006F4CC7">
        <w:rPr>
          <w:rFonts w:eastAsia="Calibri"/>
          <w:sz w:val="20"/>
          <w:szCs w:val="20"/>
        </w:rPr>
        <w:t xml:space="preserve"> matter</w:t>
      </w:r>
      <w:r w:rsidR="00D51D87">
        <w:rPr>
          <w:rFonts w:eastAsia="Calibri"/>
          <w:sz w:val="20"/>
          <w:szCs w:val="20"/>
        </w:rPr>
        <w:t>s</w:t>
      </w:r>
      <w:r w:rsidRPr="006F4CC7">
        <w:rPr>
          <w:rFonts w:eastAsia="Calibri"/>
          <w:sz w:val="20"/>
          <w:szCs w:val="20"/>
        </w:rPr>
        <w:t xml:space="preserve"> w</w:t>
      </w:r>
      <w:r w:rsidR="00D51D87">
        <w:rPr>
          <w:rFonts w:eastAsia="Calibri" w:cs="Browallia New"/>
          <w:sz w:val="20"/>
          <w:szCs w:val="25"/>
        </w:rPr>
        <w:t>ere</w:t>
      </w:r>
      <w:r w:rsidRPr="006F4CC7">
        <w:rPr>
          <w:rFonts w:eastAsia="Calibri"/>
          <w:sz w:val="20"/>
          <w:szCs w:val="20"/>
        </w:rPr>
        <w:t xml:space="preserve"> addressed in the context of my audit of the consolidated and separate financial </w:t>
      </w:r>
      <w:proofErr w:type="gramStart"/>
      <w:r w:rsidRPr="006F4CC7">
        <w:rPr>
          <w:rFonts w:eastAsia="Calibri"/>
          <w:sz w:val="20"/>
          <w:szCs w:val="20"/>
        </w:rPr>
        <w:t>statements as a whole, and</w:t>
      </w:r>
      <w:proofErr w:type="gramEnd"/>
      <w:r w:rsidRPr="006F4CC7">
        <w:rPr>
          <w:rFonts w:eastAsia="Calibri"/>
          <w:sz w:val="20"/>
          <w:szCs w:val="20"/>
        </w:rPr>
        <w:t xml:space="preserve"> in forming my opinion thereon, and I do not provide a separate opinion on the</w:t>
      </w:r>
      <w:r w:rsidR="00D51D87">
        <w:rPr>
          <w:rFonts w:eastAsia="Calibri"/>
          <w:sz w:val="20"/>
          <w:szCs w:val="20"/>
        </w:rPr>
        <w:t>se</w:t>
      </w:r>
      <w:r w:rsidRPr="006F4CC7">
        <w:rPr>
          <w:rFonts w:eastAsia="Calibri"/>
          <w:sz w:val="20"/>
          <w:szCs w:val="20"/>
        </w:rPr>
        <w:t xml:space="preserve"> matter</w:t>
      </w:r>
      <w:r w:rsidR="00D51D87">
        <w:rPr>
          <w:rFonts w:eastAsia="Calibri"/>
          <w:sz w:val="20"/>
          <w:szCs w:val="20"/>
        </w:rPr>
        <w:t>s</w:t>
      </w:r>
      <w:r w:rsidRPr="006F4CC7">
        <w:rPr>
          <w:rFonts w:eastAsia="Calibri"/>
          <w:sz w:val="20"/>
          <w:szCs w:val="20"/>
        </w:rPr>
        <w:t>.</w:t>
      </w:r>
    </w:p>
    <w:p w14:paraId="6BD8713A" w14:textId="39F67105" w:rsidR="0009538D" w:rsidRDefault="0009538D">
      <w:pPr>
        <w:rPr>
          <w:rFonts w:ascii="Arial" w:eastAsia="Calibri" w:hAnsi="Arial" w:cs="Arial"/>
          <w:color w:val="000000"/>
          <w:sz w:val="20"/>
          <w:szCs w:val="20"/>
        </w:rPr>
      </w:pPr>
      <w:r>
        <w:rPr>
          <w:rFonts w:eastAsia="Calibri"/>
          <w:sz w:val="20"/>
          <w:szCs w:val="20"/>
        </w:rPr>
        <w:br w:type="page"/>
      </w:r>
    </w:p>
    <w:p w14:paraId="3E5A90A0" w14:textId="77777777" w:rsidR="000A16B3" w:rsidRDefault="000A16B3" w:rsidP="00572678">
      <w:pPr>
        <w:pStyle w:val="Default"/>
        <w:jc w:val="thaiDistribute"/>
        <w:rPr>
          <w:rFonts w:eastAsia="Calibri"/>
          <w:sz w:val="20"/>
          <w:szCs w:val="20"/>
        </w:rPr>
      </w:pPr>
    </w:p>
    <w:tbl>
      <w:tblPr>
        <w:tblW w:w="9180" w:type="dxa"/>
        <w:tblInd w:w="108" w:type="dxa"/>
        <w:tblLayout w:type="fixed"/>
        <w:tblLook w:val="04A0" w:firstRow="1" w:lastRow="0" w:firstColumn="1" w:lastColumn="0" w:noHBand="0" w:noVBand="1"/>
      </w:tblPr>
      <w:tblGrid>
        <w:gridCol w:w="4500"/>
        <w:gridCol w:w="4680"/>
      </w:tblGrid>
      <w:tr w:rsidR="005205E4" w:rsidRPr="005205E4" w14:paraId="1E83E243" w14:textId="77777777" w:rsidTr="00134015">
        <w:trPr>
          <w:trHeight w:val="389"/>
        </w:trPr>
        <w:tc>
          <w:tcPr>
            <w:tcW w:w="4500" w:type="dxa"/>
            <w:tcBorders>
              <w:top w:val="single" w:sz="4" w:space="0" w:color="auto"/>
              <w:bottom w:val="single" w:sz="4" w:space="0" w:color="auto"/>
            </w:tcBorders>
            <w:shd w:val="clear" w:color="auto" w:fill="auto"/>
            <w:vAlign w:val="center"/>
            <w:hideMark/>
          </w:tcPr>
          <w:p w14:paraId="10B380B9" w14:textId="77777777" w:rsidR="005205E4" w:rsidRPr="005205E4" w:rsidRDefault="005205E4" w:rsidP="005205E4">
            <w:pPr>
              <w:autoSpaceDE w:val="0"/>
              <w:autoSpaceDN w:val="0"/>
              <w:adjustRightInd w:val="0"/>
              <w:spacing w:after="0" w:line="240" w:lineRule="auto"/>
              <w:ind w:right="244"/>
              <w:jc w:val="center"/>
              <w:rPr>
                <w:rFonts w:ascii="Arial" w:eastAsia="Calibri" w:hAnsi="Arial" w:cs="Arial"/>
                <w:b/>
                <w:bCs/>
                <w:sz w:val="20"/>
                <w:szCs w:val="20"/>
              </w:rPr>
            </w:pPr>
            <w:r w:rsidRPr="005205E4">
              <w:rPr>
                <w:rFonts w:ascii="Arial" w:eastAsia="Calibri" w:hAnsi="Arial" w:cs="Arial"/>
                <w:b/>
                <w:bCs/>
                <w:sz w:val="20"/>
                <w:szCs w:val="20"/>
              </w:rPr>
              <w:t>Key audit matter</w:t>
            </w:r>
          </w:p>
        </w:tc>
        <w:tc>
          <w:tcPr>
            <w:tcW w:w="4680" w:type="dxa"/>
            <w:tcBorders>
              <w:top w:val="single" w:sz="4" w:space="0" w:color="auto"/>
              <w:bottom w:val="single" w:sz="4" w:space="0" w:color="auto"/>
            </w:tcBorders>
            <w:shd w:val="clear" w:color="auto" w:fill="auto"/>
            <w:vAlign w:val="center"/>
            <w:hideMark/>
          </w:tcPr>
          <w:p w14:paraId="515E021D" w14:textId="77777777" w:rsidR="005205E4" w:rsidRPr="005205E4" w:rsidRDefault="005205E4" w:rsidP="005205E4">
            <w:pPr>
              <w:autoSpaceDE w:val="0"/>
              <w:autoSpaceDN w:val="0"/>
              <w:adjustRightInd w:val="0"/>
              <w:spacing w:after="0" w:line="240" w:lineRule="auto"/>
              <w:jc w:val="center"/>
              <w:rPr>
                <w:rFonts w:ascii="Arial" w:eastAsia="Calibri" w:hAnsi="Arial" w:cs="Arial"/>
                <w:b/>
                <w:bCs/>
                <w:sz w:val="20"/>
                <w:szCs w:val="20"/>
              </w:rPr>
            </w:pPr>
            <w:r w:rsidRPr="005205E4">
              <w:rPr>
                <w:rFonts w:ascii="Arial" w:eastAsia="Calibri" w:hAnsi="Arial" w:cs="Arial"/>
                <w:b/>
                <w:bCs/>
                <w:sz w:val="20"/>
                <w:szCs w:val="20"/>
              </w:rPr>
              <w:t>How my audit addressed the key audit matter</w:t>
            </w:r>
          </w:p>
        </w:tc>
      </w:tr>
      <w:tr w:rsidR="005205E4" w:rsidRPr="005205E4" w14:paraId="5A670182" w14:textId="77777777" w:rsidTr="00134015">
        <w:tc>
          <w:tcPr>
            <w:tcW w:w="4500" w:type="dxa"/>
            <w:tcBorders>
              <w:top w:val="single" w:sz="4" w:space="0" w:color="auto"/>
              <w:left w:val="nil"/>
              <w:bottom w:val="nil"/>
              <w:right w:val="nil"/>
            </w:tcBorders>
            <w:shd w:val="clear" w:color="auto" w:fill="FFFFFF" w:themeFill="background1"/>
          </w:tcPr>
          <w:p w14:paraId="448BE202" w14:textId="77777777" w:rsidR="005205E4" w:rsidRPr="005205E4" w:rsidRDefault="005205E4" w:rsidP="005205E4">
            <w:pPr>
              <w:autoSpaceDE w:val="0"/>
              <w:autoSpaceDN w:val="0"/>
              <w:adjustRightInd w:val="0"/>
              <w:spacing w:after="0" w:line="240" w:lineRule="auto"/>
              <w:ind w:right="244"/>
              <w:jc w:val="thaiDistribute"/>
              <w:rPr>
                <w:rFonts w:ascii="Arial" w:eastAsia="Calibri" w:hAnsi="Arial" w:cs="Arial"/>
                <w:b/>
                <w:bCs/>
                <w:color w:val="000000"/>
                <w:sz w:val="20"/>
                <w:szCs w:val="20"/>
              </w:rPr>
            </w:pPr>
          </w:p>
          <w:p w14:paraId="456A2D02" w14:textId="180E5490" w:rsidR="005205E4" w:rsidRPr="005205E4" w:rsidRDefault="00E500E8" w:rsidP="005205E4">
            <w:pPr>
              <w:autoSpaceDE w:val="0"/>
              <w:autoSpaceDN w:val="0"/>
              <w:adjustRightInd w:val="0"/>
              <w:spacing w:after="0" w:line="240" w:lineRule="auto"/>
              <w:rPr>
                <w:rFonts w:ascii="Arial" w:eastAsia="Calibri" w:hAnsi="Arial" w:cs="Browallia New"/>
                <w:color w:val="000000"/>
                <w:sz w:val="20"/>
                <w:szCs w:val="25"/>
                <w:lang w:val="en-US"/>
              </w:rPr>
            </w:pPr>
            <w:r>
              <w:rPr>
                <w:rFonts w:ascii="Arial" w:eastAsia="Calibri" w:hAnsi="Arial" w:cs="Arial"/>
                <w:b/>
                <w:bCs/>
                <w:color w:val="000000"/>
                <w:sz w:val="20"/>
                <w:szCs w:val="20"/>
              </w:rPr>
              <w:t>S</w:t>
            </w:r>
            <w:r w:rsidR="001E728B">
              <w:rPr>
                <w:rFonts w:ascii="Arial" w:eastAsia="Calibri" w:hAnsi="Arial" w:cs="Arial"/>
                <w:b/>
                <w:bCs/>
                <w:color w:val="000000"/>
                <w:sz w:val="20"/>
                <w:szCs w:val="20"/>
              </w:rPr>
              <w:t>a</w:t>
            </w:r>
            <w:r>
              <w:rPr>
                <w:rFonts w:ascii="Arial" w:eastAsia="Calibri" w:hAnsi="Arial" w:cs="Arial"/>
                <w:b/>
                <w:bCs/>
                <w:color w:val="000000"/>
                <w:sz w:val="20"/>
                <w:szCs w:val="20"/>
              </w:rPr>
              <w:t>l</w:t>
            </w:r>
            <w:r w:rsidR="001E728B">
              <w:rPr>
                <w:rFonts w:ascii="Arial" w:eastAsia="Calibri" w:hAnsi="Arial" w:cs="Arial"/>
                <w:b/>
                <w:bCs/>
                <w:color w:val="000000"/>
                <w:sz w:val="20"/>
                <w:szCs w:val="20"/>
              </w:rPr>
              <w:t>e</w:t>
            </w:r>
            <w:r>
              <w:rPr>
                <w:rFonts w:ascii="Arial" w:eastAsia="Calibri" w:hAnsi="Arial" w:cs="Arial"/>
                <w:b/>
                <w:bCs/>
                <w:color w:val="000000"/>
                <w:sz w:val="20"/>
                <w:szCs w:val="20"/>
              </w:rPr>
              <w:t xml:space="preserve"> of</w:t>
            </w:r>
            <w:r w:rsidR="005205E4" w:rsidRPr="005205E4">
              <w:rPr>
                <w:rFonts w:ascii="Arial" w:eastAsia="Calibri" w:hAnsi="Arial" w:cs="Arial"/>
                <w:b/>
                <w:bCs/>
                <w:color w:val="000000"/>
                <w:sz w:val="20"/>
                <w:szCs w:val="20"/>
              </w:rPr>
              <w:t xml:space="preserve"> </w:t>
            </w:r>
            <w:r w:rsidR="0074526E">
              <w:rPr>
                <w:rFonts w:ascii="Arial" w:eastAsia="Calibri" w:hAnsi="Arial" w:cs="Browallia New"/>
                <w:b/>
                <w:bCs/>
                <w:color w:val="000000"/>
                <w:sz w:val="20"/>
                <w:szCs w:val="25"/>
              </w:rPr>
              <w:t>investment in subsidiaries</w:t>
            </w:r>
          </w:p>
          <w:p w14:paraId="154D8E1B" w14:textId="77777777" w:rsidR="005205E4" w:rsidRPr="005205E4" w:rsidRDefault="005205E4" w:rsidP="005205E4">
            <w:pPr>
              <w:autoSpaceDE w:val="0"/>
              <w:autoSpaceDN w:val="0"/>
              <w:adjustRightInd w:val="0"/>
              <w:spacing w:after="0" w:line="240" w:lineRule="auto"/>
              <w:ind w:right="244"/>
              <w:jc w:val="thaiDistribute"/>
              <w:rPr>
                <w:rFonts w:ascii="Arial" w:eastAsia="Calibri" w:hAnsi="Arial" w:cs="Arial"/>
                <w:b/>
                <w:bCs/>
                <w:color w:val="000000"/>
                <w:sz w:val="20"/>
                <w:szCs w:val="20"/>
              </w:rPr>
            </w:pPr>
          </w:p>
        </w:tc>
        <w:tc>
          <w:tcPr>
            <w:tcW w:w="4680" w:type="dxa"/>
            <w:tcBorders>
              <w:top w:val="single" w:sz="4" w:space="0" w:color="auto"/>
              <w:left w:val="nil"/>
              <w:bottom w:val="nil"/>
              <w:right w:val="nil"/>
            </w:tcBorders>
            <w:shd w:val="clear" w:color="auto" w:fill="FFFFFF" w:themeFill="background1"/>
          </w:tcPr>
          <w:p w14:paraId="5B515642" w14:textId="77777777" w:rsidR="005205E4" w:rsidRPr="005205E4" w:rsidRDefault="005205E4" w:rsidP="005205E4">
            <w:pPr>
              <w:autoSpaceDE w:val="0"/>
              <w:autoSpaceDN w:val="0"/>
              <w:adjustRightInd w:val="0"/>
              <w:spacing w:after="0" w:line="240" w:lineRule="auto"/>
              <w:jc w:val="thaiDistribute"/>
              <w:rPr>
                <w:rFonts w:ascii="Arial" w:eastAsia="Calibri" w:hAnsi="Arial" w:cs="Arial"/>
                <w:color w:val="000000"/>
                <w:sz w:val="20"/>
                <w:szCs w:val="20"/>
              </w:rPr>
            </w:pPr>
          </w:p>
        </w:tc>
      </w:tr>
      <w:tr w:rsidR="005205E4" w:rsidRPr="005205E4" w14:paraId="1582765D" w14:textId="77777777" w:rsidTr="00134015">
        <w:tc>
          <w:tcPr>
            <w:tcW w:w="4500" w:type="dxa"/>
            <w:shd w:val="clear" w:color="auto" w:fill="FFFFFF" w:themeFill="background1"/>
          </w:tcPr>
          <w:p w14:paraId="3CB1C8C5" w14:textId="64D57AD0" w:rsidR="005205E4" w:rsidRPr="00572678" w:rsidRDefault="005205E4" w:rsidP="005205E4">
            <w:pPr>
              <w:autoSpaceDE w:val="0"/>
              <w:autoSpaceDN w:val="0"/>
              <w:adjustRightInd w:val="0"/>
              <w:spacing w:after="0" w:line="240" w:lineRule="auto"/>
              <w:jc w:val="thaiDistribute"/>
              <w:rPr>
                <w:rFonts w:ascii="Arial" w:eastAsia="Calibri" w:hAnsi="Arial" w:cs="Arial"/>
                <w:color w:val="000000"/>
                <w:spacing w:val="-6"/>
                <w:sz w:val="20"/>
                <w:szCs w:val="20"/>
              </w:rPr>
            </w:pPr>
            <w:r w:rsidRPr="00572678">
              <w:rPr>
                <w:rFonts w:ascii="Arial" w:eastAsia="Calibri" w:hAnsi="Arial" w:cs="Arial"/>
                <w:color w:val="000000"/>
                <w:spacing w:val="-6"/>
                <w:sz w:val="20"/>
                <w:szCs w:val="20"/>
              </w:rPr>
              <w:t>Refer to note 17</w:t>
            </w:r>
            <w:r w:rsidR="00E500E8" w:rsidRPr="00572678">
              <w:rPr>
                <w:rFonts w:ascii="Arial" w:eastAsia="Calibri" w:hAnsi="Arial" w:cs="Arial"/>
                <w:color w:val="000000"/>
                <w:spacing w:val="-6"/>
                <w:sz w:val="20"/>
                <w:szCs w:val="20"/>
              </w:rPr>
              <w:t>.1</w:t>
            </w:r>
            <w:r w:rsidR="0074526E" w:rsidRPr="00572678">
              <w:rPr>
                <w:rFonts w:ascii="Arial" w:eastAsia="Calibri" w:hAnsi="Arial" w:cs="Arial"/>
                <w:color w:val="000000"/>
                <w:spacing w:val="-6"/>
                <w:sz w:val="20"/>
                <w:szCs w:val="20"/>
              </w:rPr>
              <w:t xml:space="preserve"> Investments in subsidiaries and associates</w:t>
            </w:r>
          </w:p>
          <w:p w14:paraId="0B7000AA" w14:textId="77777777" w:rsidR="005205E4" w:rsidRPr="00572678" w:rsidRDefault="005205E4" w:rsidP="005205E4">
            <w:pPr>
              <w:autoSpaceDE w:val="0"/>
              <w:autoSpaceDN w:val="0"/>
              <w:adjustRightInd w:val="0"/>
              <w:spacing w:after="0" w:line="240" w:lineRule="auto"/>
              <w:jc w:val="thaiDistribute"/>
              <w:rPr>
                <w:rFonts w:ascii="Arial" w:eastAsia="Calibri" w:hAnsi="Arial" w:cs="Arial"/>
                <w:color w:val="000000"/>
                <w:spacing w:val="-6"/>
                <w:sz w:val="20"/>
                <w:szCs w:val="20"/>
              </w:rPr>
            </w:pPr>
          </w:p>
          <w:p w14:paraId="0903D87E" w14:textId="726C5F4E" w:rsidR="0009538D" w:rsidRPr="0009538D" w:rsidRDefault="0018182E" w:rsidP="0009538D">
            <w:pPr>
              <w:autoSpaceDE w:val="0"/>
              <w:autoSpaceDN w:val="0"/>
              <w:adjustRightInd w:val="0"/>
              <w:spacing w:after="0" w:line="240" w:lineRule="auto"/>
              <w:jc w:val="thaiDistribute"/>
              <w:rPr>
                <w:rFonts w:ascii="Arial" w:eastAsia="Calibri" w:hAnsi="Arial" w:cs="Arial"/>
                <w:spacing w:val="-6"/>
                <w:sz w:val="20"/>
                <w:szCs w:val="20"/>
                <w:lang w:val="en-US"/>
              </w:rPr>
            </w:pPr>
            <w:r w:rsidRPr="00572678">
              <w:rPr>
                <w:rFonts w:ascii="Arial" w:eastAsia="Calibri" w:hAnsi="Arial" w:cs="Arial"/>
                <w:color w:val="000000"/>
                <w:spacing w:val="-6"/>
                <w:sz w:val="20"/>
                <w:szCs w:val="20"/>
                <w:lang w:val="en-US"/>
              </w:rPr>
              <w:t xml:space="preserve">In </w:t>
            </w:r>
            <w:r w:rsidRPr="0009538D">
              <w:rPr>
                <w:rFonts w:ascii="Arial" w:eastAsia="Calibri" w:hAnsi="Arial" w:cs="Arial"/>
                <w:spacing w:val="-6"/>
                <w:sz w:val="20"/>
                <w:szCs w:val="20"/>
                <w:lang w:val="en-US"/>
              </w:rPr>
              <w:t xml:space="preserve">December 2024, the Group signed a </w:t>
            </w:r>
            <w:r w:rsidR="00751C20" w:rsidRPr="0009538D">
              <w:rPr>
                <w:rFonts w:ascii="Arial" w:eastAsia="Calibri" w:hAnsi="Arial" w:cs="Arial"/>
                <w:spacing w:val="-6"/>
                <w:sz w:val="20"/>
                <w:szCs w:val="20"/>
                <w:lang w:val="en-US"/>
              </w:rPr>
              <w:t>share sale and purchase agreement</w:t>
            </w:r>
            <w:r w:rsidRPr="0009538D">
              <w:rPr>
                <w:rFonts w:ascii="Arial" w:eastAsia="Calibri" w:hAnsi="Arial" w:cs="Arial"/>
                <w:spacing w:val="-6"/>
                <w:sz w:val="20"/>
                <w:szCs w:val="20"/>
                <w:lang w:val="en-US"/>
              </w:rPr>
              <w:t xml:space="preserve"> for</w:t>
            </w:r>
            <w:r w:rsidR="00D51F14" w:rsidRPr="0009538D">
              <w:rPr>
                <w:rFonts w:ascii="Arial" w:eastAsia="Calibri" w:hAnsi="Arial" w:cs="Browallia New"/>
                <w:spacing w:val="-6"/>
                <w:sz w:val="20"/>
                <w:szCs w:val="25"/>
                <w:lang w:val="en-US"/>
              </w:rPr>
              <w:t xml:space="preserve"> sale</w:t>
            </w:r>
            <w:r w:rsidRPr="0009538D">
              <w:rPr>
                <w:rFonts w:ascii="Arial" w:eastAsia="Calibri" w:hAnsi="Arial" w:cs="Arial"/>
                <w:spacing w:val="-6"/>
                <w:sz w:val="20"/>
                <w:szCs w:val="20"/>
                <w:lang w:val="en-US"/>
              </w:rPr>
              <w:t xml:space="preserve"> of indirect subsidiaries in oversea. </w:t>
            </w:r>
            <w:r w:rsidR="00D51F14" w:rsidRPr="0009538D">
              <w:rPr>
                <w:rFonts w:ascii="Arial" w:eastAsia="Calibri" w:hAnsi="Arial" w:cs="Arial"/>
                <w:spacing w:val="-6"/>
                <w:sz w:val="20"/>
                <w:szCs w:val="20"/>
                <w:lang w:val="en-US"/>
              </w:rPr>
              <w:t>T</w:t>
            </w:r>
            <w:r w:rsidRPr="0009538D">
              <w:rPr>
                <w:rFonts w:ascii="Arial" w:eastAsia="Calibri" w:hAnsi="Arial" w:cs="Arial"/>
                <w:spacing w:val="-6"/>
                <w:sz w:val="20"/>
                <w:szCs w:val="20"/>
                <w:lang w:val="en-US"/>
              </w:rPr>
              <w:t xml:space="preserve">he agreement includes </w:t>
            </w:r>
            <w:r w:rsidR="00FF144C">
              <w:rPr>
                <w:rFonts w:ascii="Arial" w:eastAsia="Calibri" w:hAnsi="Arial" w:cs="Arial"/>
                <w:spacing w:val="-6"/>
                <w:sz w:val="20"/>
                <w:szCs w:val="20"/>
                <w:lang w:val="en-US"/>
              </w:rPr>
              <w:t>several</w:t>
            </w:r>
            <w:r w:rsidR="00D51F14" w:rsidRPr="0009538D">
              <w:rPr>
                <w:rFonts w:ascii="Arial" w:eastAsia="Calibri" w:hAnsi="Arial" w:cs="Arial"/>
                <w:spacing w:val="-6"/>
                <w:sz w:val="20"/>
                <w:szCs w:val="20"/>
                <w:lang w:val="en-US"/>
              </w:rPr>
              <w:t xml:space="preserve"> </w:t>
            </w:r>
            <w:r w:rsidR="00E43B1A">
              <w:rPr>
                <w:rFonts w:ascii="Arial" w:eastAsia="Calibri" w:hAnsi="Arial" w:cs="Arial"/>
                <w:spacing w:val="-6"/>
                <w:sz w:val="20"/>
                <w:szCs w:val="20"/>
                <w:lang w:val="en-US"/>
              </w:rPr>
              <w:t xml:space="preserve">terms and </w:t>
            </w:r>
            <w:r w:rsidRPr="0009538D">
              <w:rPr>
                <w:rFonts w:ascii="Arial" w:eastAsia="Calibri" w:hAnsi="Arial" w:cs="Arial"/>
                <w:spacing w:val="-6"/>
                <w:sz w:val="20"/>
                <w:szCs w:val="20"/>
                <w:lang w:val="en-US"/>
              </w:rPr>
              <w:t>conditions that had to be fulfilled before the completed transaction</w:t>
            </w:r>
            <w:r w:rsidR="00D51F14" w:rsidRPr="0009538D">
              <w:rPr>
                <w:rFonts w:ascii="Arial" w:eastAsia="Calibri" w:hAnsi="Arial" w:cs="Arial"/>
                <w:spacing w:val="-6"/>
                <w:sz w:val="20"/>
                <w:szCs w:val="20"/>
                <w:lang w:val="en-US"/>
              </w:rPr>
              <w:t xml:space="preserve">. </w:t>
            </w:r>
            <w:r w:rsidRPr="0009538D">
              <w:rPr>
                <w:rFonts w:ascii="Arial" w:eastAsia="Calibri" w:hAnsi="Arial" w:cs="Arial"/>
                <w:spacing w:val="-6"/>
                <w:sz w:val="20"/>
                <w:szCs w:val="20"/>
                <w:lang w:val="en-US"/>
              </w:rPr>
              <w:t xml:space="preserve">According to Thai Financial Reporting Standard No. 15 on revenue from contracts with customers, </w:t>
            </w:r>
            <w:r w:rsidR="00D51F14" w:rsidRPr="0009538D">
              <w:rPr>
                <w:rFonts w:ascii="Arial" w:eastAsia="Calibri" w:hAnsi="Arial" w:cs="Arial"/>
                <w:spacing w:val="-6"/>
                <w:sz w:val="20"/>
                <w:szCs w:val="20"/>
                <w:lang w:val="en-US"/>
              </w:rPr>
              <w:t xml:space="preserve">the Group had not yet fulfilled </w:t>
            </w:r>
            <w:r w:rsidR="00D51F14" w:rsidRPr="0009538D">
              <w:rPr>
                <w:rFonts w:ascii="Arial" w:eastAsia="Calibri" w:hAnsi="Arial" w:cs="Arial"/>
                <w:spacing w:val="-6"/>
                <w:sz w:val="20"/>
                <w:szCs w:val="20"/>
              </w:rPr>
              <w:t xml:space="preserve">conditions </w:t>
            </w:r>
            <w:r w:rsidR="00D51F14" w:rsidRPr="0009538D">
              <w:rPr>
                <w:rFonts w:ascii="Arial" w:eastAsia="Calibri" w:hAnsi="Arial" w:cs="Arial"/>
                <w:spacing w:val="-6"/>
                <w:sz w:val="20"/>
                <w:szCs w:val="20"/>
                <w:lang w:val="en-US"/>
              </w:rPr>
              <w:t xml:space="preserve">under the agreement. Therefore, the management consider that </w:t>
            </w:r>
            <w:r w:rsidR="00D51F14" w:rsidRPr="0009538D">
              <w:rPr>
                <w:rFonts w:ascii="Arial" w:eastAsia="Calibri" w:hAnsi="Arial" w:cs="Arial"/>
                <w:spacing w:val="-6"/>
                <w:sz w:val="20"/>
                <w:szCs w:val="20"/>
              </w:rPr>
              <w:t xml:space="preserve">this did not meet </w:t>
            </w:r>
            <w:r w:rsidR="0009538D" w:rsidRPr="0009538D">
              <w:rPr>
                <w:rFonts w:ascii="Arial" w:eastAsia="Calibri" w:hAnsi="Arial" w:cs="Arial"/>
                <w:spacing w:val="-6"/>
                <w:sz w:val="20"/>
                <w:szCs w:val="20"/>
              </w:rPr>
              <w:t>the sales criteria</w:t>
            </w:r>
            <w:r w:rsidR="00D51F14" w:rsidRPr="0009538D">
              <w:rPr>
                <w:rFonts w:ascii="Arial" w:eastAsia="Calibri" w:hAnsi="Arial" w:cs="Arial"/>
                <w:spacing w:val="-6"/>
                <w:sz w:val="20"/>
                <w:szCs w:val="20"/>
              </w:rPr>
              <w:t>.</w:t>
            </w:r>
            <w:r w:rsidR="00D51F14" w:rsidRPr="0009538D">
              <w:rPr>
                <w:rFonts w:ascii="Arial" w:eastAsia="Calibri" w:hAnsi="Arial" w:cs="Arial"/>
                <w:spacing w:val="-6"/>
                <w:sz w:val="20"/>
                <w:szCs w:val="20"/>
                <w:lang w:val="en-US"/>
              </w:rPr>
              <w:t xml:space="preserve"> However, the Group has registered the transfer shares and changed the board of director of the subsidiaries to buyer </w:t>
            </w:r>
            <w:r w:rsidR="0009538D" w:rsidRPr="0009538D">
              <w:rPr>
                <w:rFonts w:ascii="Arial" w:eastAsia="Calibri" w:hAnsi="Arial" w:cs="Arial"/>
                <w:spacing w:val="-6"/>
                <w:sz w:val="20"/>
                <w:szCs w:val="20"/>
                <w:lang w:val="en-US"/>
              </w:rPr>
              <w:t>causing</w:t>
            </w:r>
            <w:r w:rsidR="00D51F14" w:rsidRPr="0009538D">
              <w:rPr>
                <w:rFonts w:ascii="Arial" w:eastAsia="Calibri" w:hAnsi="Arial" w:cs="Arial"/>
                <w:spacing w:val="-6"/>
                <w:sz w:val="20"/>
                <w:szCs w:val="20"/>
                <w:lang w:val="en-US"/>
              </w:rPr>
              <w:t xml:space="preserve"> the Group </w:t>
            </w:r>
            <w:r w:rsidR="0009538D" w:rsidRPr="0009538D">
              <w:rPr>
                <w:rFonts w:ascii="Arial" w:eastAsia="Calibri" w:hAnsi="Arial" w:cs="Arial"/>
                <w:spacing w:val="-6"/>
                <w:sz w:val="20"/>
                <w:szCs w:val="20"/>
                <w:lang w:val="en-US"/>
              </w:rPr>
              <w:t xml:space="preserve">to lose control </w:t>
            </w:r>
            <w:r w:rsidR="00D51F14" w:rsidRPr="0009538D">
              <w:rPr>
                <w:rFonts w:ascii="Arial" w:eastAsia="Calibri" w:hAnsi="Arial" w:cs="Arial"/>
                <w:spacing w:val="-6"/>
                <w:sz w:val="20"/>
                <w:szCs w:val="20"/>
                <w:lang w:val="en-US"/>
              </w:rPr>
              <w:t xml:space="preserve">of the subsidiaries and should de-consolidated of assets and liabilities of the subsidiaries </w:t>
            </w:r>
            <w:r w:rsidR="0009538D" w:rsidRPr="0009538D">
              <w:rPr>
                <w:rFonts w:ascii="Arial" w:eastAsia="Calibri" w:hAnsi="Arial" w:cs="Arial"/>
                <w:spacing w:val="-6"/>
                <w:sz w:val="20"/>
                <w:szCs w:val="20"/>
                <w:lang w:val="en-US"/>
              </w:rPr>
              <w:t>in consolidated financial statements</w:t>
            </w:r>
            <w:r w:rsidR="00D51F14" w:rsidRPr="0009538D">
              <w:rPr>
                <w:rFonts w:ascii="Arial" w:eastAsia="Calibri" w:hAnsi="Arial" w:cs="Arial"/>
                <w:spacing w:val="-6"/>
                <w:sz w:val="20"/>
                <w:szCs w:val="20"/>
                <w:lang w:val="en-US"/>
              </w:rPr>
              <w:t xml:space="preserve">. </w:t>
            </w:r>
            <w:r w:rsidR="0009538D" w:rsidRPr="0009538D">
              <w:rPr>
                <w:rFonts w:ascii="Arial" w:eastAsia="Calibri" w:hAnsi="Arial" w:cs="Arial"/>
                <w:spacing w:val="-6"/>
                <w:sz w:val="20"/>
                <w:szCs w:val="20"/>
                <w:lang w:val="en-US"/>
              </w:rPr>
              <w:t>Therefore, the Group recorded the subsidiary investment as a non-current financial asset measured at fair value through profit or loss in consolidated financial statements as of 31 December 2024 with a value of Baht 474.70 million, based on the selling price in the share sale and purchase agreement.</w:t>
            </w:r>
          </w:p>
          <w:p w14:paraId="513F6B4A" w14:textId="77777777" w:rsidR="0009538D" w:rsidRPr="0009538D" w:rsidRDefault="0009538D" w:rsidP="0018182E">
            <w:pPr>
              <w:autoSpaceDE w:val="0"/>
              <w:autoSpaceDN w:val="0"/>
              <w:adjustRightInd w:val="0"/>
              <w:spacing w:after="0" w:line="240" w:lineRule="auto"/>
              <w:jc w:val="thaiDistribute"/>
              <w:rPr>
                <w:rFonts w:ascii="Arial" w:eastAsia="Calibri" w:hAnsi="Arial" w:cs="Arial"/>
                <w:spacing w:val="-6"/>
                <w:sz w:val="20"/>
                <w:szCs w:val="20"/>
                <w:lang w:val="en-US"/>
              </w:rPr>
            </w:pPr>
          </w:p>
          <w:p w14:paraId="70EF2B58" w14:textId="77777777" w:rsidR="0009538D" w:rsidRPr="0009538D" w:rsidRDefault="0009538D" w:rsidP="0009538D">
            <w:pPr>
              <w:autoSpaceDE w:val="0"/>
              <w:autoSpaceDN w:val="0"/>
              <w:adjustRightInd w:val="0"/>
              <w:spacing w:after="0" w:line="240" w:lineRule="auto"/>
              <w:jc w:val="thaiDistribute"/>
              <w:rPr>
                <w:rFonts w:ascii="Arial" w:eastAsia="Calibri" w:hAnsi="Arial" w:cs="Arial"/>
                <w:spacing w:val="-6"/>
                <w:sz w:val="20"/>
                <w:szCs w:val="20"/>
              </w:rPr>
            </w:pPr>
          </w:p>
          <w:p w14:paraId="3469CFAC" w14:textId="40D8141D" w:rsidR="005205E4" w:rsidRPr="0009538D" w:rsidRDefault="0009538D" w:rsidP="005205E4">
            <w:pPr>
              <w:autoSpaceDE w:val="0"/>
              <w:autoSpaceDN w:val="0"/>
              <w:adjustRightInd w:val="0"/>
              <w:spacing w:after="0" w:line="240" w:lineRule="auto"/>
              <w:ind w:right="244"/>
              <w:jc w:val="thaiDistribute"/>
              <w:rPr>
                <w:rFonts w:ascii="Arial" w:eastAsia="Calibri" w:hAnsi="Arial" w:cs="Arial"/>
                <w:color w:val="000000"/>
                <w:sz w:val="20"/>
                <w:szCs w:val="20"/>
              </w:rPr>
            </w:pPr>
            <w:r w:rsidRPr="0009538D">
              <w:rPr>
                <w:rFonts w:ascii="Arial" w:eastAsia="Calibri" w:hAnsi="Arial" w:cs="Arial"/>
                <w:spacing w:val="-6"/>
                <w:sz w:val="20"/>
                <w:szCs w:val="20"/>
                <w:lang w:val="en"/>
              </w:rPr>
              <w:t xml:space="preserve">I focused on this area </w:t>
            </w:r>
            <w:r w:rsidRPr="0009538D">
              <w:rPr>
                <w:rFonts w:ascii="Arial" w:eastAsia="Calibri" w:hAnsi="Arial" w:cs="Arial"/>
                <w:spacing w:val="-6"/>
                <w:sz w:val="20"/>
                <w:szCs w:val="20"/>
              </w:rPr>
              <w:t xml:space="preserve">due to the </w:t>
            </w:r>
            <w:r w:rsidR="00334918">
              <w:rPr>
                <w:rFonts w:ascii="Arial" w:eastAsia="Calibri" w:hAnsi="Arial" w:cs="Browallia New"/>
                <w:spacing w:val="-6"/>
                <w:sz w:val="20"/>
                <w:szCs w:val="25"/>
              </w:rPr>
              <w:t xml:space="preserve">amount is </w:t>
            </w:r>
            <w:r w:rsidRPr="0009538D">
              <w:rPr>
                <w:rFonts w:ascii="Arial" w:eastAsia="Calibri" w:hAnsi="Arial" w:cs="Arial"/>
                <w:spacing w:val="-6"/>
                <w:sz w:val="20"/>
                <w:szCs w:val="20"/>
              </w:rPr>
              <w:t xml:space="preserve">material </w:t>
            </w:r>
            <w:r w:rsidR="00334918">
              <w:rPr>
                <w:rFonts w:ascii="Arial" w:eastAsia="Calibri" w:hAnsi="Arial" w:cs="Arial"/>
                <w:spacing w:val="-6"/>
                <w:sz w:val="20"/>
                <w:szCs w:val="20"/>
              </w:rPr>
              <w:t>to the</w:t>
            </w:r>
            <w:r w:rsidRPr="0009538D">
              <w:rPr>
                <w:rFonts w:ascii="Arial" w:eastAsia="Calibri" w:hAnsi="Arial" w:cs="Arial"/>
                <w:spacing w:val="-6"/>
                <w:sz w:val="20"/>
                <w:szCs w:val="20"/>
              </w:rPr>
              <w:t xml:space="preserve"> consolidated financial statements and </w:t>
            </w:r>
            <w:r w:rsidR="00FF144C">
              <w:rPr>
                <w:rFonts w:ascii="Arial" w:eastAsia="Calibri" w:hAnsi="Arial" w:cs="Arial"/>
                <w:spacing w:val="-6"/>
                <w:sz w:val="20"/>
                <w:szCs w:val="20"/>
              </w:rPr>
              <w:t>several</w:t>
            </w:r>
            <w:r w:rsidRPr="0009538D">
              <w:rPr>
                <w:rFonts w:ascii="Arial" w:eastAsia="Calibri" w:hAnsi="Arial" w:cs="Arial"/>
                <w:spacing w:val="-6"/>
                <w:sz w:val="20"/>
                <w:szCs w:val="20"/>
              </w:rPr>
              <w:t xml:space="preserve"> terms and conditions in the share sale and purchase agreement. </w:t>
            </w:r>
          </w:p>
        </w:tc>
        <w:tc>
          <w:tcPr>
            <w:tcW w:w="4680" w:type="dxa"/>
            <w:shd w:val="clear" w:color="auto" w:fill="FFFFFF" w:themeFill="background1"/>
          </w:tcPr>
          <w:p w14:paraId="39DDC4A6" w14:textId="77777777" w:rsidR="0074526E" w:rsidRPr="0074526E" w:rsidRDefault="0074526E" w:rsidP="0074526E">
            <w:pPr>
              <w:shd w:val="clear" w:color="auto" w:fill="FAFAFA"/>
              <w:spacing w:after="0" w:line="240" w:lineRule="auto"/>
              <w:jc w:val="both"/>
              <w:rPr>
                <w:rFonts w:ascii="Arial" w:hAnsi="Arial" w:cs="Arial"/>
                <w:color w:val="000000"/>
                <w:sz w:val="20"/>
                <w:szCs w:val="20"/>
                <w:lang w:val="en"/>
              </w:rPr>
            </w:pPr>
            <w:r w:rsidRPr="0074526E">
              <w:rPr>
                <w:rFonts w:ascii="Arial" w:hAnsi="Arial" w:cs="Arial"/>
                <w:color w:val="000000"/>
                <w:spacing w:val="-6"/>
                <w:sz w:val="20"/>
                <w:szCs w:val="20"/>
                <w:lang w:val="en"/>
              </w:rPr>
              <w:t>The audit procedures I performed regarding this matter</w:t>
            </w:r>
            <w:r w:rsidRPr="0074526E">
              <w:rPr>
                <w:rFonts w:ascii="Arial" w:hAnsi="Arial" w:cs="Arial"/>
                <w:color w:val="000000"/>
                <w:sz w:val="20"/>
                <w:szCs w:val="20"/>
                <w:lang w:val="en"/>
              </w:rPr>
              <w:t xml:space="preserve"> are as follows:</w:t>
            </w:r>
          </w:p>
          <w:p w14:paraId="0BCDED79" w14:textId="77777777" w:rsidR="0074526E" w:rsidRPr="0074526E" w:rsidRDefault="0074526E" w:rsidP="0074526E">
            <w:pPr>
              <w:spacing w:after="0" w:line="240" w:lineRule="auto"/>
              <w:jc w:val="both"/>
              <w:rPr>
                <w:rFonts w:ascii="Arial" w:hAnsi="Arial" w:cs="Arial"/>
                <w:color w:val="000000"/>
                <w:sz w:val="20"/>
                <w:szCs w:val="20"/>
                <w:lang w:val="en"/>
              </w:rPr>
            </w:pPr>
          </w:p>
          <w:p w14:paraId="664DE269" w14:textId="70F4DBB4" w:rsidR="0018182E" w:rsidRDefault="00F51E93" w:rsidP="0018182E">
            <w:pPr>
              <w:pStyle w:val="ListParagraph"/>
              <w:numPr>
                <w:ilvl w:val="0"/>
                <w:numId w:val="12"/>
              </w:numPr>
              <w:spacing w:after="0" w:line="240" w:lineRule="auto"/>
              <w:jc w:val="both"/>
              <w:rPr>
                <w:rFonts w:ascii="Arial" w:eastAsia="Calibri" w:hAnsi="Arial" w:cs="Arial"/>
                <w:color w:val="000000"/>
                <w:spacing w:val="-6"/>
                <w:sz w:val="20"/>
                <w:szCs w:val="20"/>
              </w:rPr>
            </w:pPr>
            <w:r>
              <w:rPr>
                <w:rFonts w:ascii="Arial" w:eastAsia="Calibri" w:hAnsi="Arial" w:cs="Arial"/>
                <w:color w:val="000000"/>
                <w:spacing w:val="-6"/>
                <w:sz w:val="20"/>
                <w:szCs w:val="20"/>
              </w:rPr>
              <w:t>Understanding</w:t>
            </w:r>
            <w:r w:rsidR="00221242">
              <w:rPr>
                <w:rFonts w:ascii="Arial" w:eastAsia="Calibri" w:hAnsi="Arial" w:hint="cs"/>
                <w:color w:val="000000"/>
                <w:spacing w:val="-6"/>
                <w:sz w:val="20"/>
                <w:szCs w:val="20"/>
                <w:cs/>
              </w:rPr>
              <w:t xml:space="preserve"> </w:t>
            </w:r>
            <w:r w:rsidR="00221242">
              <w:rPr>
                <w:rFonts w:ascii="Arial" w:eastAsia="Calibri" w:hAnsi="Arial"/>
                <w:color w:val="000000"/>
                <w:spacing w:val="-6"/>
                <w:sz w:val="20"/>
                <w:szCs w:val="20"/>
                <w:lang w:val="en-US"/>
              </w:rPr>
              <w:t>of</w:t>
            </w:r>
            <w:r w:rsidR="0018182E" w:rsidRPr="0018182E">
              <w:rPr>
                <w:rFonts w:ascii="Arial" w:eastAsia="Calibri" w:hAnsi="Arial" w:cs="Arial"/>
                <w:color w:val="000000"/>
                <w:spacing w:val="-6"/>
                <w:sz w:val="20"/>
                <w:szCs w:val="20"/>
              </w:rPr>
              <w:t xml:space="preserve"> the </w:t>
            </w:r>
            <w:r w:rsidR="00221242" w:rsidRPr="0009538D">
              <w:rPr>
                <w:rFonts w:ascii="Arial" w:eastAsia="Calibri" w:hAnsi="Arial" w:cs="Arial"/>
                <w:spacing w:val="-6"/>
                <w:sz w:val="20"/>
                <w:szCs w:val="20"/>
                <w:lang w:val="en-US"/>
              </w:rPr>
              <w:t xml:space="preserve">share sale and purchase agreement </w:t>
            </w:r>
            <w:r w:rsidR="00221242">
              <w:rPr>
                <w:rFonts w:ascii="Arial" w:eastAsia="Calibri" w:hAnsi="Arial" w:cs="Arial"/>
                <w:color w:val="000000"/>
                <w:spacing w:val="-6"/>
                <w:sz w:val="20"/>
                <w:szCs w:val="20"/>
              </w:rPr>
              <w:t xml:space="preserve">obtained </w:t>
            </w:r>
            <w:r w:rsidR="0018182E" w:rsidRPr="0018182E">
              <w:rPr>
                <w:rFonts w:ascii="Arial" w:eastAsia="Calibri" w:hAnsi="Arial" w:cs="Arial"/>
                <w:color w:val="000000"/>
                <w:spacing w:val="-6"/>
                <w:sz w:val="20"/>
                <w:szCs w:val="20"/>
              </w:rPr>
              <w:t xml:space="preserve">from the management of the </w:t>
            </w:r>
            <w:r w:rsidR="0018182E">
              <w:rPr>
                <w:rFonts w:ascii="Arial" w:eastAsia="Calibri" w:hAnsi="Arial" w:cs="Arial"/>
                <w:color w:val="000000"/>
                <w:spacing w:val="-6"/>
                <w:sz w:val="20"/>
                <w:szCs w:val="20"/>
              </w:rPr>
              <w:t>G</w:t>
            </w:r>
            <w:r w:rsidR="0018182E" w:rsidRPr="0018182E">
              <w:rPr>
                <w:rFonts w:ascii="Arial" w:eastAsia="Calibri" w:hAnsi="Arial" w:cs="Arial"/>
                <w:color w:val="000000"/>
                <w:spacing w:val="-6"/>
                <w:sz w:val="20"/>
                <w:szCs w:val="20"/>
              </w:rPr>
              <w:t>roup.</w:t>
            </w:r>
          </w:p>
          <w:p w14:paraId="58A8F08B" w14:textId="77777777" w:rsidR="0018182E" w:rsidRPr="0018182E" w:rsidRDefault="0018182E" w:rsidP="0018182E">
            <w:pPr>
              <w:pStyle w:val="ListParagraph"/>
              <w:spacing w:after="0" w:line="240" w:lineRule="auto"/>
              <w:jc w:val="both"/>
              <w:rPr>
                <w:rFonts w:ascii="Arial" w:eastAsia="Calibri" w:hAnsi="Arial" w:cs="Arial"/>
                <w:color w:val="000000"/>
                <w:spacing w:val="-6"/>
                <w:sz w:val="20"/>
                <w:szCs w:val="20"/>
              </w:rPr>
            </w:pPr>
          </w:p>
          <w:p w14:paraId="54F3BDD8" w14:textId="7B461DD9" w:rsidR="0018182E" w:rsidRDefault="0018182E" w:rsidP="0018182E">
            <w:pPr>
              <w:pStyle w:val="ListParagraph"/>
              <w:numPr>
                <w:ilvl w:val="0"/>
                <w:numId w:val="12"/>
              </w:numPr>
              <w:spacing w:after="0" w:line="240" w:lineRule="auto"/>
              <w:jc w:val="both"/>
              <w:rPr>
                <w:rFonts w:ascii="Arial" w:eastAsia="Calibri" w:hAnsi="Arial" w:cs="Arial"/>
                <w:color w:val="000000"/>
                <w:spacing w:val="-6"/>
                <w:sz w:val="20"/>
                <w:szCs w:val="20"/>
              </w:rPr>
            </w:pPr>
            <w:r w:rsidRPr="0018182E">
              <w:rPr>
                <w:rFonts w:ascii="Arial" w:eastAsia="Calibri" w:hAnsi="Arial" w:cs="Arial"/>
                <w:color w:val="000000"/>
                <w:spacing w:val="-6"/>
                <w:sz w:val="20"/>
                <w:szCs w:val="20"/>
              </w:rPr>
              <w:t xml:space="preserve">Discussed with the </w:t>
            </w:r>
            <w:r>
              <w:rPr>
                <w:rFonts w:ascii="Arial" w:eastAsia="Calibri" w:hAnsi="Arial" w:cs="Arial"/>
                <w:color w:val="000000"/>
                <w:spacing w:val="-6"/>
                <w:sz w:val="20"/>
                <w:szCs w:val="20"/>
              </w:rPr>
              <w:t xml:space="preserve">Group’s </w:t>
            </w:r>
            <w:r w:rsidRPr="0018182E">
              <w:rPr>
                <w:rFonts w:ascii="Arial" w:eastAsia="Calibri" w:hAnsi="Arial" w:cs="Arial"/>
                <w:color w:val="000000"/>
                <w:spacing w:val="-6"/>
                <w:sz w:val="20"/>
                <w:szCs w:val="20"/>
              </w:rPr>
              <w:t xml:space="preserve">management to understand each </w:t>
            </w:r>
            <w:r>
              <w:rPr>
                <w:rFonts w:ascii="Arial" w:eastAsia="Calibri" w:hAnsi="Arial" w:cs="Arial"/>
                <w:color w:val="000000"/>
                <w:spacing w:val="-6"/>
                <w:sz w:val="20"/>
                <w:szCs w:val="20"/>
              </w:rPr>
              <w:t xml:space="preserve">term and </w:t>
            </w:r>
            <w:r w:rsidRPr="0018182E">
              <w:rPr>
                <w:rFonts w:ascii="Arial" w:eastAsia="Calibri" w:hAnsi="Arial" w:cs="Arial"/>
                <w:color w:val="000000"/>
                <w:spacing w:val="-6"/>
                <w:sz w:val="20"/>
                <w:szCs w:val="20"/>
              </w:rPr>
              <w:t>condition in the share purchase agreement</w:t>
            </w:r>
            <w:r w:rsidR="002606BE">
              <w:rPr>
                <w:rFonts w:ascii="Arial" w:eastAsia="Calibri" w:hAnsi="Arial" w:hint="cs"/>
                <w:color w:val="000000"/>
                <w:spacing w:val="-6"/>
                <w:sz w:val="20"/>
                <w:szCs w:val="20"/>
                <w:cs/>
              </w:rPr>
              <w:t xml:space="preserve"> </w:t>
            </w:r>
            <w:r w:rsidR="002606BE">
              <w:rPr>
                <w:rFonts w:ascii="Arial" w:eastAsia="Calibri" w:hAnsi="Arial"/>
                <w:color w:val="000000"/>
                <w:spacing w:val="-6"/>
                <w:sz w:val="20"/>
                <w:szCs w:val="20"/>
              </w:rPr>
              <w:t>including the performance obligation fulfilment.</w:t>
            </w:r>
          </w:p>
          <w:p w14:paraId="086BA17F" w14:textId="77777777" w:rsidR="0018182E" w:rsidRPr="0018182E" w:rsidRDefault="0018182E" w:rsidP="0018182E">
            <w:pPr>
              <w:pStyle w:val="ListParagraph"/>
              <w:rPr>
                <w:rFonts w:ascii="Arial" w:eastAsia="Calibri" w:hAnsi="Arial" w:cs="Arial"/>
                <w:color w:val="000000"/>
                <w:spacing w:val="-6"/>
                <w:sz w:val="20"/>
                <w:szCs w:val="20"/>
              </w:rPr>
            </w:pPr>
          </w:p>
          <w:p w14:paraId="25C6F04C" w14:textId="72A0C753" w:rsidR="0018182E" w:rsidRPr="0018182E" w:rsidRDefault="0018182E" w:rsidP="0018182E">
            <w:pPr>
              <w:pStyle w:val="ListParagraph"/>
              <w:numPr>
                <w:ilvl w:val="0"/>
                <w:numId w:val="12"/>
              </w:numPr>
              <w:spacing w:after="0" w:line="240" w:lineRule="auto"/>
              <w:jc w:val="both"/>
              <w:rPr>
                <w:rFonts w:ascii="Arial" w:eastAsia="Calibri" w:hAnsi="Arial" w:cs="Arial"/>
                <w:color w:val="000000"/>
                <w:spacing w:val="-6"/>
                <w:sz w:val="20"/>
                <w:szCs w:val="20"/>
              </w:rPr>
            </w:pPr>
            <w:r>
              <w:rPr>
                <w:rFonts w:ascii="Arial" w:eastAsia="Calibri" w:hAnsi="Arial" w:cs="Arial"/>
                <w:color w:val="000000"/>
                <w:spacing w:val="-6"/>
                <w:sz w:val="20"/>
                <w:szCs w:val="20"/>
              </w:rPr>
              <w:t>C</w:t>
            </w:r>
            <w:r w:rsidRPr="00AB4B71">
              <w:rPr>
                <w:rFonts w:ascii="Arial" w:eastAsia="Calibri" w:hAnsi="Arial" w:cs="Arial"/>
                <w:color w:val="000000"/>
                <w:spacing w:val="-6"/>
                <w:sz w:val="20"/>
                <w:szCs w:val="20"/>
              </w:rPr>
              <w:t>hallenged management’s</w:t>
            </w:r>
            <w:r>
              <w:rPr>
                <w:rFonts w:ascii="Arial" w:eastAsia="Calibri" w:hAnsi="Arial" w:cs="Arial"/>
                <w:color w:val="000000"/>
                <w:spacing w:val="-6"/>
                <w:sz w:val="20"/>
                <w:szCs w:val="20"/>
              </w:rPr>
              <w:t xml:space="preserve"> assessment </w:t>
            </w:r>
            <w:r w:rsidRPr="0018182E">
              <w:rPr>
                <w:rFonts w:ascii="Arial" w:eastAsia="Calibri" w:hAnsi="Arial" w:cs="Arial"/>
                <w:color w:val="000000"/>
                <w:spacing w:val="-6"/>
                <w:sz w:val="20"/>
                <w:szCs w:val="20"/>
              </w:rPr>
              <w:t>and</w:t>
            </w:r>
            <w:r>
              <w:rPr>
                <w:rFonts w:ascii="Arial" w:eastAsia="Calibri" w:hAnsi="Arial" w:cs="Arial"/>
                <w:color w:val="000000"/>
                <w:spacing w:val="-6"/>
                <w:sz w:val="20"/>
                <w:szCs w:val="20"/>
              </w:rPr>
              <w:t xml:space="preserve"> </w:t>
            </w:r>
            <w:r w:rsidRPr="0018182E">
              <w:rPr>
                <w:rFonts w:ascii="Arial" w:eastAsia="Calibri" w:hAnsi="Arial" w:cs="Arial"/>
                <w:color w:val="000000"/>
                <w:spacing w:val="-6"/>
                <w:sz w:val="20"/>
                <w:szCs w:val="20"/>
              </w:rPr>
              <w:t xml:space="preserve">reviewed supporting documents related to the execution of each </w:t>
            </w:r>
            <w:r>
              <w:rPr>
                <w:rFonts w:ascii="Arial" w:eastAsia="Calibri" w:hAnsi="Arial" w:cs="Arial"/>
                <w:color w:val="000000"/>
                <w:spacing w:val="-6"/>
                <w:sz w:val="20"/>
                <w:szCs w:val="20"/>
              </w:rPr>
              <w:t>condition</w:t>
            </w:r>
            <w:r w:rsidRPr="0018182E">
              <w:rPr>
                <w:rFonts w:ascii="Arial" w:eastAsia="Calibri" w:hAnsi="Arial" w:cs="Arial"/>
                <w:color w:val="000000"/>
                <w:spacing w:val="-6"/>
                <w:sz w:val="20"/>
                <w:szCs w:val="20"/>
              </w:rPr>
              <w:t xml:space="preserve"> in the agreement to determine whether the </w:t>
            </w:r>
            <w:r>
              <w:rPr>
                <w:rFonts w:ascii="Arial" w:eastAsia="Calibri" w:hAnsi="Arial" w:cs="Arial"/>
                <w:color w:val="000000"/>
                <w:spacing w:val="-6"/>
                <w:sz w:val="20"/>
                <w:szCs w:val="20"/>
              </w:rPr>
              <w:t>G</w:t>
            </w:r>
            <w:r w:rsidRPr="0018182E">
              <w:rPr>
                <w:rFonts w:ascii="Arial" w:eastAsia="Calibri" w:hAnsi="Arial" w:cs="Arial"/>
                <w:color w:val="000000"/>
                <w:spacing w:val="-6"/>
                <w:sz w:val="20"/>
                <w:szCs w:val="20"/>
              </w:rPr>
              <w:t xml:space="preserve">roup has fully delivered the obligations to the buyer in accordance with </w:t>
            </w:r>
            <w:r>
              <w:rPr>
                <w:rFonts w:ascii="Arial" w:eastAsia="Calibri" w:hAnsi="Arial" w:cs="Arial"/>
                <w:color w:val="000000"/>
                <w:spacing w:val="-6"/>
                <w:sz w:val="20"/>
                <w:szCs w:val="20"/>
              </w:rPr>
              <w:t xml:space="preserve">Thai </w:t>
            </w:r>
            <w:r w:rsidRPr="0018182E">
              <w:rPr>
                <w:rFonts w:ascii="Arial" w:eastAsia="Calibri" w:hAnsi="Arial" w:cs="Arial"/>
                <w:color w:val="000000"/>
                <w:spacing w:val="-6"/>
                <w:sz w:val="20"/>
                <w:szCs w:val="20"/>
              </w:rPr>
              <w:t>Financial Reporting Standard No. 15 on revenue from contracts with customers.</w:t>
            </w:r>
          </w:p>
          <w:p w14:paraId="5CA057DA" w14:textId="77777777" w:rsidR="00AB4B71" w:rsidRPr="00AB4B71" w:rsidRDefault="00AB4B71" w:rsidP="00AB4B71">
            <w:pPr>
              <w:pStyle w:val="ListParagraph"/>
              <w:spacing w:after="0" w:line="240" w:lineRule="auto"/>
              <w:ind w:left="349"/>
              <w:jc w:val="both"/>
              <w:rPr>
                <w:rFonts w:ascii="Arial" w:eastAsia="Calibri" w:hAnsi="Arial" w:cs="Arial"/>
                <w:color w:val="000000"/>
                <w:spacing w:val="-6"/>
                <w:sz w:val="20"/>
                <w:szCs w:val="20"/>
              </w:rPr>
            </w:pPr>
          </w:p>
          <w:p w14:paraId="773E2436" w14:textId="1DF0BA78" w:rsidR="00F51E93" w:rsidRPr="00221242" w:rsidRDefault="00F51E93" w:rsidP="00221242">
            <w:pPr>
              <w:spacing w:after="0" w:line="240" w:lineRule="auto"/>
              <w:jc w:val="both"/>
              <w:rPr>
                <w:rFonts w:ascii="Arial" w:eastAsia="Calibri" w:hAnsi="Arial" w:cs="Arial"/>
                <w:color w:val="000000"/>
                <w:spacing w:val="-6"/>
                <w:sz w:val="20"/>
                <w:szCs w:val="20"/>
              </w:rPr>
            </w:pPr>
          </w:p>
          <w:p w14:paraId="26001232" w14:textId="77777777" w:rsidR="00F51E93" w:rsidRPr="00AB4B71" w:rsidRDefault="00F51E93" w:rsidP="00F51E93">
            <w:pPr>
              <w:pStyle w:val="ListParagraph"/>
              <w:spacing w:after="0" w:line="240" w:lineRule="auto"/>
              <w:ind w:left="349"/>
              <w:jc w:val="both"/>
              <w:rPr>
                <w:rFonts w:ascii="Arial" w:eastAsia="Calibri" w:hAnsi="Arial" w:cs="Arial"/>
                <w:color w:val="000000"/>
                <w:spacing w:val="-6"/>
                <w:sz w:val="20"/>
                <w:szCs w:val="20"/>
              </w:rPr>
            </w:pPr>
          </w:p>
          <w:p w14:paraId="5F2E7D1C" w14:textId="6BC6D543" w:rsidR="00F51E93" w:rsidRPr="005205E4" w:rsidRDefault="00F51E93" w:rsidP="00F51E93">
            <w:pPr>
              <w:spacing w:after="0" w:line="240" w:lineRule="auto"/>
              <w:ind w:left="-20"/>
              <w:jc w:val="both"/>
              <w:rPr>
                <w:rFonts w:ascii="Arial" w:eastAsia="Calibri" w:hAnsi="Arial" w:cs="Arial"/>
                <w:sz w:val="20"/>
                <w:szCs w:val="20"/>
                <w:lang w:val="en"/>
              </w:rPr>
            </w:pPr>
            <w:r w:rsidRPr="00AB4B71">
              <w:rPr>
                <w:rFonts w:ascii="Arial" w:eastAsia="Calibri" w:hAnsi="Arial" w:cs="Arial"/>
                <w:color w:val="000000"/>
                <w:spacing w:val="-6"/>
                <w:sz w:val="20"/>
                <w:szCs w:val="20"/>
              </w:rPr>
              <w:t xml:space="preserve">From the above procedures performed, I found </w:t>
            </w:r>
            <w:r>
              <w:rPr>
                <w:rFonts w:ascii="Arial" w:eastAsia="Calibri" w:hAnsi="Arial" w:cs="Arial"/>
                <w:color w:val="000000"/>
                <w:spacing w:val="-6"/>
                <w:sz w:val="20"/>
                <w:szCs w:val="20"/>
              </w:rPr>
              <w:t>that the sale of investment in subsidiaries transaction</w:t>
            </w:r>
            <w:r w:rsidRPr="00AB4B71">
              <w:rPr>
                <w:rFonts w:ascii="Arial" w:eastAsia="Calibri" w:hAnsi="Arial" w:cs="Arial"/>
                <w:color w:val="000000"/>
                <w:spacing w:val="-6"/>
                <w:sz w:val="20"/>
                <w:szCs w:val="20"/>
              </w:rPr>
              <w:t xml:space="preserve"> w</w:t>
            </w:r>
            <w:r>
              <w:rPr>
                <w:rFonts w:ascii="Arial" w:eastAsia="Calibri" w:hAnsi="Arial" w:cs="Arial"/>
                <w:color w:val="000000"/>
                <w:spacing w:val="-6"/>
                <w:sz w:val="20"/>
                <w:szCs w:val="20"/>
              </w:rPr>
              <w:t>as</w:t>
            </w:r>
            <w:r w:rsidRPr="00AB4B71">
              <w:rPr>
                <w:rFonts w:ascii="Arial" w:eastAsia="Calibri" w:hAnsi="Arial" w:cs="Arial"/>
                <w:color w:val="000000"/>
                <w:spacing w:val="-6"/>
                <w:sz w:val="20"/>
                <w:szCs w:val="20"/>
              </w:rPr>
              <w:t xml:space="preserve"> supportable and appropriate </w:t>
            </w:r>
            <w:proofErr w:type="gramStart"/>
            <w:r w:rsidRPr="00AB4B71">
              <w:rPr>
                <w:rFonts w:ascii="Arial" w:eastAsia="Calibri" w:hAnsi="Arial" w:cs="Arial"/>
                <w:color w:val="000000"/>
                <w:spacing w:val="-6"/>
                <w:sz w:val="20"/>
                <w:szCs w:val="20"/>
              </w:rPr>
              <w:t>in light of</w:t>
            </w:r>
            <w:proofErr w:type="gramEnd"/>
            <w:r w:rsidRPr="00AB4B71">
              <w:rPr>
                <w:rFonts w:ascii="Arial" w:eastAsia="Calibri" w:hAnsi="Arial" w:cs="Arial"/>
                <w:color w:val="000000"/>
                <w:spacing w:val="-6"/>
                <w:sz w:val="20"/>
                <w:szCs w:val="20"/>
              </w:rPr>
              <w:t xml:space="preserve"> the current circumstances.</w:t>
            </w:r>
          </w:p>
        </w:tc>
      </w:tr>
    </w:tbl>
    <w:p w14:paraId="372C499A" w14:textId="394A693B" w:rsidR="00F46364" w:rsidRDefault="005205E4">
      <w:pPr>
        <w:rPr>
          <w:rFonts w:ascii="Arial" w:eastAsia="Calibri" w:hAnsi="Arial" w:cs="Arial"/>
          <w:color w:val="000000"/>
          <w:sz w:val="20"/>
          <w:szCs w:val="20"/>
          <w:highlight w:val="yellow"/>
        </w:rPr>
      </w:pPr>
      <w:r>
        <w:rPr>
          <w:rFonts w:eastAsia="Calibri"/>
          <w:sz w:val="20"/>
          <w:szCs w:val="20"/>
        </w:rPr>
        <w:t xml:space="preserve"> </w:t>
      </w:r>
      <w:r w:rsidR="00F46364">
        <w:rPr>
          <w:rFonts w:eastAsia="Calibri"/>
          <w:sz w:val="20"/>
          <w:szCs w:val="20"/>
        </w:rPr>
        <w:br w:type="page"/>
      </w:r>
    </w:p>
    <w:p w14:paraId="76397C82" w14:textId="4730D370" w:rsidR="005B49D6" w:rsidRPr="006F4CC7" w:rsidRDefault="000216EE" w:rsidP="006F12F1">
      <w:pPr>
        <w:pStyle w:val="Default"/>
        <w:jc w:val="thaiDistribute"/>
        <w:rPr>
          <w:rFonts w:eastAsia="Calibri"/>
          <w:b/>
          <w:bCs/>
          <w:sz w:val="20"/>
          <w:szCs w:val="20"/>
        </w:rPr>
      </w:pPr>
      <w:r w:rsidRPr="006F4CC7">
        <w:rPr>
          <w:rFonts w:eastAsia="Calibri"/>
          <w:b/>
          <w:bCs/>
          <w:sz w:val="20"/>
          <w:szCs w:val="20"/>
        </w:rPr>
        <w:lastRenderedPageBreak/>
        <w:t>O</w:t>
      </w:r>
      <w:r w:rsidR="00E07F94" w:rsidRPr="006F4CC7">
        <w:rPr>
          <w:rFonts w:eastAsia="Calibri"/>
          <w:b/>
          <w:bCs/>
          <w:sz w:val="20"/>
          <w:szCs w:val="20"/>
        </w:rPr>
        <w:t>her i</w:t>
      </w:r>
      <w:r w:rsidR="00790517" w:rsidRPr="006F4CC7">
        <w:rPr>
          <w:rFonts w:eastAsia="Calibri"/>
          <w:b/>
          <w:bCs/>
          <w:sz w:val="20"/>
          <w:szCs w:val="20"/>
        </w:rPr>
        <w:t xml:space="preserve">nformation </w:t>
      </w:r>
    </w:p>
    <w:p w14:paraId="166A81BD" w14:textId="77777777" w:rsidR="008533AD" w:rsidRPr="006F4CC7" w:rsidRDefault="008533AD" w:rsidP="006F12F1">
      <w:pPr>
        <w:pStyle w:val="Default"/>
        <w:jc w:val="thaiDistribute"/>
        <w:rPr>
          <w:rFonts w:eastAsia="Calibri"/>
          <w:b/>
          <w:bCs/>
          <w:sz w:val="12"/>
          <w:szCs w:val="12"/>
        </w:rPr>
      </w:pPr>
    </w:p>
    <w:p w14:paraId="0EFFE28A" w14:textId="2027A471" w:rsidR="00747C86" w:rsidRPr="006F4CC7" w:rsidRDefault="00922275" w:rsidP="00753D44">
      <w:pPr>
        <w:pStyle w:val="Default"/>
        <w:jc w:val="thaiDistribute"/>
        <w:rPr>
          <w:rFonts w:eastAsia="Calibri"/>
          <w:sz w:val="20"/>
          <w:szCs w:val="20"/>
        </w:rPr>
      </w:pPr>
      <w:r w:rsidRPr="006F4CC7">
        <w:rPr>
          <w:rFonts w:eastAsia="Calibri"/>
          <w:sz w:val="20"/>
          <w:szCs w:val="20"/>
        </w:rPr>
        <w:t xml:space="preserve">The directors are </w:t>
      </w:r>
      <w:r w:rsidR="00747C86" w:rsidRPr="006F4CC7">
        <w:rPr>
          <w:rFonts w:eastAsia="Calibri"/>
          <w:sz w:val="20"/>
          <w:szCs w:val="20"/>
        </w:rPr>
        <w:t xml:space="preserve">responsible for the other information. The other information comprises the information included in the annual </w:t>
      </w:r>
      <w:r w:rsidR="00ED2B14" w:rsidRPr="006F4CC7">
        <w:rPr>
          <w:rFonts w:eastAsia="Calibri"/>
          <w:sz w:val="20"/>
          <w:szCs w:val="20"/>
        </w:rPr>
        <w:t>report but</w:t>
      </w:r>
      <w:r w:rsidR="00747C86" w:rsidRPr="006F4CC7">
        <w:rPr>
          <w:rFonts w:eastAsia="Calibri"/>
          <w:sz w:val="20"/>
          <w:szCs w:val="20"/>
        </w:rPr>
        <w:t xml:space="preserve"> does not include the </w:t>
      </w:r>
      <w:r w:rsidR="005237A1" w:rsidRPr="006F4CC7">
        <w:rPr>
          <w:rFonts w:eastAsia="Calibri"/>
          <w:sz w:val="20"/>
          <w:szCs w:val="20"/>
        </w:rPr>
        <w:t>consolidated and</w:t>
      </w:r>
      <w:r w:rsidR="00E507A3" w:rsidRPr="006F4CC7">
        <w:rPr>
          <w:rFonts w:eastAsia="Calibri"/>
          <w:sz w:val="20"/>
          <w:szCs w:val="20"/>
        </w:rPr>
        <w:t xml:space="preserve"> separate</w:t>
      </w:r>
      <w:r w:rsidR="005237A1" w:rsidRPr="006F4CC7">
        <w:rPr>
          <w:rFonts w:eastAsia="Calibri"/>
          <w:sz w:val="20"/>
          <w:szCs w:val="20"/>
        </w:rPr>
        <w:t xml:space="preserve"> </w:t>
      </w:r>
      <w:r w:rsidR="00747C86" w:rsidRPr="006F4CC7">
        <w:rPr>
          <w:rFonts w:eastAsia="Calibri"/>
          <w:sz w:val="20"/>
          <w:szCs w:val="20"/>
        </w:rPr>
        <w:t>financial statements and my auditor’s report thereon</w:t>
      </w:r>
      <w:r w:rsidR="00B91979" w:rsidRPr="006F4CC7">
        <w:rPr>
          <w:rFonts w:eastAsia="Calibri"/>
          <w:sz w:val="20"/>
          <w:szCs w:val="20"/>
        </w:rPr>
        <w:t>.</w:t>
      </w:r>
      <w:r w:rsidR="005237A1" w:rsidRPr="006F4CC7">
        <w:rPr>
          <w:rFonts w:eastAsia="Calibri"/>
          <w:sz w:val="20"/>
          <w:szCs w:val="20"/>
        </w:rPr>
        <w:t xml:space="preserve"> The annual report is expected to be made available to me after the date of this auditor's report.</w:t>
      </w:r>
    </w:p>
    <w:p w14:paraId="09A2886D" w14:textId="77777777" w:rsidR="00B91979" w:rsidRPr="006F4CC7" w:rsidRDefault="00B91979" w:rsidP="005F2E64">
      <w:pPr>
        <w:pStyle w:val="Default"/>
        <w:jc w:val="thaiDistribute"/>
        <w:rPr>
          <w:sz w:val="20"/>
          <w:szCs w:val="20"/>
        </w:rPr>
      </w:pPr>
    </w:p>
    <w:p w14:paraId="3B586B3B" w14:textId="77777777" w:rsidR="00747C86" w:rsidRPr="006F4CC7" w:rsidRDefault="00747C86" w:rsidP="006F12F1">
      <w:pPr>
        <w:pStyle w:val="Default"/>
        <w:jc w:val="thaiDistribute"/>
        <w:rPr>
          <w:rFonts w:eastAsia="Calibri"/>
          <w:sz w:val="20"/>
          <w:szCs w:val="20"/>
        </w:rPr>
      </w:pPr>
      <w:r w:rsidRPr="006F4CC7">
        <w:rPr>
          <w:rFonts w:eastAsia="Calibri"/>
          <w:sz w:val="20"/>
          <w:szCs w:val="20"/>
        </w:rPr>
        <w:t xml:space="preserve">My opinion on the </w:t>
      </w:r>
      <w:r w:rsidR="005237A1" w:rsidRPr="006F4CC7">
        <w:rPr>
          <w:rFonts w:eastAsia="Calibri"/>
          <w:sz w:val="20"/>
          <w:szCs w:val="20"/>
        </w:rPr>
        <w:t xml:space="preserve">consolidated and </w:t>
      </w:r>
      <w:r w:rsidR="00E507A3" w:rsidRPr="006F4CC7">
        <w:rPr>
          <w:rFonts w:eastAsia="Calibri"/>
          <w:sz w:val="20"/>
          <w:szCs w:val="20"/>
        </w:rPr>
        <w:t xml:space="preserve">separate </w:t>
      </w:r>
      <w:r w:rsidRPr="006F4CC7">
        <w:rPr>
          <w:rFonts w:eastAsia="Calibri"/>
          <w:sz w:val="20"/>
          <w:szCs w:val="20"/>
        </w:rPr>
        <w:t xml:space="preserve">financial statements does not cover the other information and I will not express any form of assurance conclusion thereon. </w:t>
      </w:r>
    </w:p>
    <w:p w14:paraId="4A1681A9" w14:textId="77777777" w:rsidR="005237A1" w:rsidRPr="006F4CC7" w:rsidRDefault="005237A1" w:rsidP="006F12F1">
      <w:pPr>
        <w:pStyle w:val="Default"/>
        <w:jc w:val="thaiDistribute"/>
        <w:rPr>
          <w:sz w:val="20"/>
          <w:szCs w:val="20"/>
        </w:rPr>
      </w:pPr>
    </w:p>
    <w:p w14:paraId="5C791852" w14:textId="77777777" w:rsidR="005237A1" w:rsidRPr="006F4CC7" w:rsidRDefault="00747C86" w:rsidP="006F12F1">
      <w:pPr>
        <w:pStyle w:val="Default"/>
        <w:jc w:val="thaiDistribute"/>
        <w:rPr>
          <w:rFonts w:eastAsia="Calibri"/>
          <w:sz w:val="20"/>
          <w:szCs w:val="20"/>
        </w:rPr>
      </w:pPr>
      <w:r w:rsidRPr="006F4CC7">
        <w:rPr>
          <w:rFonts w:eastAsia="Calibri"/>
          <w:sz w:val="20"/>
          <w:szCs w:val="20"/>
        </w:rPr>
        <w:t xml:space="preserve">In connection with my audit of the </w:t>
      </w:r>
      <w:r w:rsidR="005237A1" w:rsidRPr="006F4CC7">
        <w:rPr>
          <w:rFonts w:eastAsia="Calibri"/>
          <w:sz w:val="20"/>
          <w:szCs w:val="20"/>
        </w:rPr>
        <w:t xml:space="preserve">consolidated and </w:t>
      </w:r>
      <w:r w:rsidR="00E507A3" w:rsidRPr="006F4CC7">
        <w:rPr>
          <w:rFonts w:eastAsia="Calibri"/>
          <w:sz w:val="20"/>
          <w:szCs w:val="20"/>
        </w:rPr>
        <w:t xml:space="preserve">separate </w:t>
      </w:r>
      <w:r w:rsidRPr="006F4CC7">
        <w:rPr>
          <w:rFonts w:eastAsia="Calibri"/>
          <w:sz w:val="20"/>
          <w:szCs w:val="20"/>
        </w:rPr>
        <w:t xml:space="preserve">financial statements, my responsibility is to read the other information identified above when it becomes available and, in doing so, consider whether the other information is materially inconsistent with the </w:t>
      </w:r>
      <w:r w:rsidR="005237A1" w:rsidRPr="006F4CC7">
        <w:rPr>
          <w:rFonts w:eastAsia="Calibri"/>
          <w:sz w:val="20"/>
          <w:szCs w:val="20"/>
        </w:rPr>
        <w:t xml:space="preserve">consolidated and </w:t>
      </w:r>
      <w:r w:rsidR="00E507A3" w:rsidRPr="006F4CC7">
        <w:rPr>
          <w:rFonts w:eastAsia="Calibri"/>
          <w:sz w:val="20"/>
          <w:szCs w:val="20"/>
        </w:rPr>
        <w:t xml:space="preserve">separate </w:t>
      </w:r>
      <w:r w:rsidRPr="006F4CC7">
        <w:rPr>
          <w:rFonts w:eastAsia="Calibri"/>
          <w:sz w:val="20"/>
          <w:szCs w:val="20"/>
        </w:rPr>
        <w:t xml:space="preserve">financial statements or my knowledge obtained in the audit, or otherwise appears to be materially misstated. </w:t>
      </w:r>
    </w:p>
    <w:p w14:paraId="2CA6D928" w14:textId="77777777" w:rsidR="00BD5FF4" w:rsidRPr="006F4CC7" w:rsidRDefault="00BD5FF4" w:rsidP="006F12F1">
      <w:pPr>
        <w:pStyle w:val="Default"/>
        <w:jc w:val="thaiDistribute"/>
        <w:rPr>
          <w:sz w:val="20"/>
          <w:szCs w:val="20"/>
        </w:rPr>
      </w:pPr>
    </w:p>
    <w:p w14:paraId="17E5A56E" w14:textId="57C89951" w:rsidR="00BD5FF4" w:rsidRPr="006F4CC7" w:rsidRDefault="00BD5FF4" w:rsidP="006F12F1">
      <w:pPr>
        <w:pStyle w:val="Default"/>
        <w:jc w:val="thaiDistribute"/>
        <w:rPr>
          <w:rFonts w:eastAsia="Calibri"/>
          <w:sz w:val="20"/>
          <w:szCs w:val="20"/>
        </w:rPr>
      </w:pPr>
      <w:r w:rsidRPr="006F4CC7">
        <w:rPr>
          <w:rFonts w:eastAsia="Calibri"/>
          <w:sz w:val="20"/>
          <w:szCs w:val="20"/>
        </w:rPr>
        <w:t>When I read the annual report, if I conclude that there is a</w:t>
      </w:r>
      <w:r w:rsidR="0034029B" w:rsidRPr="006F4CC7">
        <w:rPr>
          <w:rFonts w:eastAsia="Calibri"/>
          <w:sz w:val="20"/>
          <w:szCs w:val="20"/>
        </w:rPr>
        <w:t xml:space="preserve"> material misstatement therein,</w:t>
      </w:r>
      <w:r w:rsidR="0034029B" w:rsidRPr="006F4CC7">
        <w:rPr>
          <w:rFonts w:eastAsia="Calibri"/>
          <w:sz w:val="20"/>
          <w:szCs w:val="20"/>
          <w:cs/>
        </w:rPr>
        <w:t xml:space="preserve"> </w:t>
      </w:r>
      <w:r w:rsidRPr="006F4CC7">
        <w:rPr>
          <w:rFonts w:eastAsia="Calibri"/>
          <w:sz w:val="20"/>
          <w:szCs w:val="20"/>
        </w:rPr>
        <w:t xml:space="preserve">I am required to communicate the matter to </w:t>
      </w:r>
      <w:r w:rsidR="00E507A3" w:rsidRPr="006F4CC7">
        <w:rPr>
          <w:rFonts w:eastAsia="Calibri"/>
          <w:sz w:val="20"/>
          <w:szCs w:val="20"/>
        </w:rPr>
        <w:t xml:space="preserve">the </w:t>
      </w:r>
      <w:r w:rsidR="008E0FC2" w:rsidRPr="006F4CC7">
        <w:rPr>
          <w:rFonts w:eastAsia="Calibri"/>
          <w:sz w:val="20"/>
          <w:szCs w:val="20"/>
        </w:rPr>
        <w:t>audit committee</w:t>
      </w:r>
      <w:r w:rsidR="007647A2" w:rsidRPr="006F4CC7">
        <w:rPr>
          <w:rFonts w:eastAsia="Calibri"/>
          <w:sz w:val="20"/>
          <w:szCs w:val="20"/>
        </w:rPr>
        <w:t>.</w:t>
      </w:r>
    </w:p>
    <w:p w14:paraId="600834E4" w14:textId="77777777" w:rsidR="00747C86" w:rsidRPr="006F4CC7" w:rsidRDefault="00747C86" w:rsidP="006F12F1">
      <w:pPr>
        <w:pStyle w:val="Default"/>
        <w:jc w:val="thaiDistribute"/>
        <w:rPr>
          <w:b/>
          <w:bCs/>
          <w:sz w:val="20"/>
          <w:szCs w:val="20"/>
        </w:rPr>
      </w:pPr>
    </w:p>
    <w:p w14:paraId="35E1F70E" w14:textId="03B936EE" w:rsidR="00790517" w:rsidRPr="006F4CC7" w:rsidRDefault="00790517" w:rsidP="006F12F1">
      <w:pPr>
        <w:pStyle w:val="Default"/>
        <w:jc w:val="thaiDistribute"/>
        <w:rPr>
          <w:rFonts w:eastAsia="Calibri"/>
          <w:b/>
          <w:bCs/>
          <w:sz w:val="20"/>
          <w:szCs w:val="20"/>
        </w:rPr>
      </w:pPr>
      <w:r w:rsidRPr="006F4CC7">
        <w:rPr>
          <w:rFonts w:eastAsia="Calibri"/>
          <w:b/>
          <w:bCs/>
          <w:sz w:val="20"/>
          <w:szCs w:val="20"/>
        </w:rPr>
        <w:t xml:space="preserve">Responsibilities of </w:t>
      </w:r>
      <w:r w:rsidR="00E507A3" w:rsidRPr="006F4CC7">
        <w:rPr>
          <w:rFonts w:eastAsia="Calibri"/>
          <w:b/>
          <w:bCs/>
          <w:sz w:val="20"/>
          <w:szCs w:val="20"/>
        </w:rPr>
        <w:t xml:space="preserve">the directors </w:t>
      </w:r>
      <w:r w:rsidRPr="006F4CC7">
        <w:rPr>
          <w:rFonts w:eastAsia="Calibri"/>
          <w:b/>
          <w:bCs/>
          <w:sz w:val="20"/>
          <w:szCs w:val="20"/>
        </w:rPr>
        <w:t xml:space="preserve">for the </w:t>
      </w:r>
      <w:r w:rsidR="00E07F94" w:rsidRPr="006F4CC7">
        <w:rPr>
          <w:rFonts w:eastAsia="Calibri"/>
          <w:b/>
          <w:bCs/>
          <w:sz w:val="20"/>
          <w:szCs w:val="20"/>
        </w:rPr>
        <w:t>c</w:t>
      </w:r>
      <w:r w:rsidR="00BD5FF4" w:rsidRPr="006F4CC7">
        <w:rPr>
          <w:rFonts w:eastAsia="Calibri"/>
          <w:b/>
          <w:bCs/>
          <w:sz w:val="20"/>
          <w:szCs w:val="20"/>
        </w:rPr>
        <w:t xml:space="preserve">onsolidated and </w:t>
      </w:r>
      <w:r w:rsidR="00E07F94" w:rsidRPr="006F4CC7">
        <w:rPr>
          <w:rFonts w:eastAsia="Calibri"/>
          <w:b/>
          <w:bCs/>
          <w:sz w:val="20"/>
          <w:szCs w:val="20"/>
        </w:rPr>
        <w:t>s</w:t>
      </w:r>
      <w:r w:rsidR="00E507A3" w:rsidRPr="006F4CC7">
        <w:rPr>
          <w:rFonts w:eastAsia="Calibri"/>
          <w:b/>
          <w:bCs/>
          <w:sz w:val="20"/>
          <w:szCs w:val="20"/>
        </w:rPr>
        <w:t xml:space="preserve">eparate </w:t>
      </w:r>
      <w:r w:rsidR="00E07F94" w:rsidRPr="006F4CC7">
        <w:rPr>
          <w:rFonts w:eastAsia="Calibri"/>
          <w:b/>
          <w:bCs/>
          <w:sz w:val="20"/>
          <w:szCs w:val="20"/>
        </w:rPr>
        <w:t>f</w:t>
      </w:r>
      <w:r w:rsidRPr="006F4CC7">
        <w:rPr>
          <w:rFonts w:eastAsia="Calibri"/>
          <w:b/>
          <w:bCs/>
          <w:sz w:val="20"/>
          <w:szCs w:val="20"/>
        </w:rPr>
        <w:t xml:space="preserve">inancial </w:t>
      </w:r>
      <w:r w:rsidR="00E07F94" w:rsidRPr="006F4CC7">
        <w:rPr>
          <w:rFonts w:eastAsia="Calibri"/>
          <w:b/>
          <w:bCs/>
          <w:sz w:val="20"/>
          <w:szCs w:val="20"/>
        </w:rPr>
        <w:t>s</w:t>
      </w:r>
      <w:r w:rsidRPr="006F4CC7">
        <w:rPr>
          <w:rFonts w:eastAsia="Calibri"/>
          <w:b/>
          <w:bCs/>
          <w:sz w:val="20"/>
          <w:szCs w:val="20"/>
        </w:rPr>
        <w:t xml:space="preserve">tatements </w:t>
      </w:r>
    </w:p>
    <w:p w14:paraId="38CFA0F7" w14:textId="77777777" w:rsidR="008533AD" w:rsidRPr="006F4CC7" w:rsidRDefault="008533AD" w:rsidP="006F12F1">
      <w:pPr>
        <w:pStyle w:val="Default"/>
        <w:jc w:val="thaiDistribute"/>
        <w:rPr>
          <w:rFonts w:eastAsia="Calibri"/>
          <w:b/>
          <w:bCs/>
          <w:sz w:val="12"/>
          <w:szCs w:val="12"/>
        </w:rPr>
      </w:pPr>
    </w:p>
    <w:p w14:paraId="105EE525" w14:textId="69B8C524" w:rsidR="00B91979" w:rsidRPr="006F4CC7" w:rsidRDefault="00E507A3" w:rsidP="00753D44">
      <w:pPr>
        <w:spacing w:after="0" w:line="240" w:lineRule="auto"/>
        <w:jc w:val="thaiDistribute"/>
        <w:rPr>
          <w:rFonts w:ascii="Arial" w:eastAsia="Calibri" w:hAnsi="Arial" w:cs="Arial"/>
          <w:color w:val="000000"/>
          <w:sz w:val="20"/>
          <w:szCs w:val="20"/>
        </w:rPr>
      </w:pPr>
      <w:r w:rsidRPr="006F4CC7">
        <w:rPr>
          <w:rFonts w:ascii="Arial" w:eastAsia="Calibri" w:hAnsi="Arial" w:cs="Arial"/>
          <w:color w:val="000000"/>
          <w:sz w:val="20"/>
          <w:szCs w:val="20"/>
        </w:rPr>
        <w:t>The directors are</w:t>
      </w:r>
      <w:r w:rsidR="00B91979" w:rsidRPr="006F4CC7">
        <w:rPr>
          <w:rFonts w:ascii="Arial" w:eastAsia="Calibri" w:hAnsi="Arial" w:cs="Arial"/>
          <w:color w:val="000000"/>
          <w:sz w:val="20"/>
          <w:szCs w:val="20"/>
        </w:rPr>
        <w:t xml:space="preserve"> responsible for the preparation and fair presentation of the </w:t>
      </w:r>
      <w:r w:rsidR="00BD5FF4" w:rsidRPr="006F4CC7">
        <w:rPr>
          <w:rFonts w:ascii="Arial" w:eastAsia="Calibri" w:hAnsi="Arial" w:cs="Arial"/>
          <w:color w:val="000000"/>
          <w:sz w:val="20"/>
          <w:szCs w:val="20"/>
        </w:rPr>
        <w:t xml:space="preserve">consolidated and </w:t>
      </w:r>
      <w:r w:rsidR="00D0685C" w:rsidRPr="006F4CC7">
        <w:rPr>
          <w:rFonts w:ascii="Arial" w:eastAsia="Calibri" w:hAnsi="Arial" w:cs="Arial"/>
          <w:color w:val="000000"/>
          <w:sz w:val="20"/>
          <w:szCs w:val="20"/>
        </w:rPr>
        <w:t xml:space="preserve">separate </w:t>
      </w:r>
      <w:r w:rsidR="00B91979" w:rsidRPr="006F4CC7">
        <w:rPr>
          <w:rFonts w:ascii="Arial" w:eastAsia="Calibri" w:hAnsi="Arial" w:cs="Arial"/>
          <w:color w:val="000000"/>
          <w:sz w:val="20"/>
          <w:szCs w:val="20"/>
        </w:rPr>
        <w:t>financial statements in accordance</w:t>
      </w:r>
      <w:r w:rsidR="005B1E87" w:rsidRPr="006F4CC7">
        <w:rPr>
          <w:rFonts w:ascii="Arial" w:eastAsia="Calibri" w:hAnsi="Arial" w:cs="Arial"/>
          <w:color w:val="000000"/>
          <w:sz w:val="20"/>
          <w:szCs w:val="20"/>
        </w:rPr>
        <w:t xml:space="preserve"> </w:t>
      </w:r>
      <w:r w:rsidR="00B91979" w:rsidRPr="006F4CC7">
        <w:rPr>
          <w:rFonts w:ascii="Arial" w:eastAsia="Calibri" w:hAnsi="Arial" w:cs="Arial"/>
          <w:color w:val="000000"/>
          <w:sz w:val="20"/>
          <w:szCs w:val="20"/>
        </w:rPr>
        <w:t xml:space="preserve">with TFRS, and for such internal control as </w:t>
      </w:r>
      <w:r w:rsidR="00D0685C" w:rsidRPr="006F4CC7">
        <w:rPr>
          <w:rFonts w:ascii="Arial" w:eastAsia="Calibri" w:hAnsi="Arial" w:cs="Arial"/>
          <w:color w:val="000000"/>
          <w:sz w:val="20"/>
          <w:szCs w:val="20"/>
        </w:rPr>
        <w:t xml:space="preserve">the directors </w:t>
      </w:r>
      <w:r w:rsidR="00B91979" w:rsidRPr="006F4CC7">
        <w:rPr>
          <w:rFonts w:ascii="Arial" w:eastAsia="Calibri" w:hAnsi="Arial" w:cs="Arial"/>
          <w:color w:val="000000"/>
          <w:sz w:val="20"/>
          <w:szCs w:val="20"/>
        </w:rPr>
        <w:t xml:space="preserve">determine is necessary to enable the preparation of </w:t>
      </w:r>
      <w:r w:rsidR="00BD5FF4" w:rsidRPr="006F4CC7">
        <w:rPr>
          <w:rFonts w:ascii="Arial" w:eastAsia="Calibri" w:hAnsi="Arial" w:cs="Arial"/>
          <w:color w:val="000000"/>
          <w:sz w:val="20"/>
          <w:szCs w:val="20"/>
        </w:rPr>
        <w:t xml:space="preserve">consolidated and </w:t>
      </w:r>
      <w:r w:rsidR="00D0685C" w:rsidRPr="006F4CC7">
        <w:rPr>
          <w:rFonts w:ascii="Arial" w:eastAsia="Calibri" w:hAnsi="Arial" w:cs="Arial"/>
          <w:color w:val="000000"/>
          <w:sz w:val="20"/>
          <w:szCs w:val="20"/>
        </w:rPr>
        <w:t xml:space="preserve">separate </w:t>
      </w:r>
      <w:r w:rsidR="00B91979" w:rsidRPr="006F4CC7">
        <w:rPr>
          <w:rFonts w:ascii="Arial" w:eastAsia="Calibri" w:hAnsi="Arial" w:cs="Arial"/>
          <w:color w:val="000000"/>
          <w:sz w:val="20"/>
          <w:szCs w:val="20"/>
        </w:rPr>
        <w:t xml:space="preserve">financial statements that are free from material misstatement, whether due to fraud or error. </w:t>
      </w:r>
    </w:p>
    <w:p w14:paraId="238985E0" w14:textId="77777777" w:rsidR="00B91979" w:rsidRPr="006F4CC7" w:rsidRDefault="00B91979" w:rsidP="00753D44">
      <w:pPr>
        <w:spacing w:after="0" w:line="240" w:lineRule="auto"/>
        <w:jc w:val="thaiDistribute"/>
        <w:rPr>
          <w:rFonts w:ascii="Arial" w:hAnsi="Arial" w:cs="Arial"/>
          <w:color w:val="000000"/>
          <w:sz w:val="20"/>
          <w:szCs w:val="20"/>
        </w:rPr>
      </w:pPr>
    </w:p>
    <w:p w14:paraId="6DE19626" w14:textId="357A112A" w:rsidR="00B91979" w:rsidRPr="006F4CC7" w:rsidRDefault="00B91979" w:rsidP="005F2E64">
      <w:pPr>
        <w:spacing w:after="0" w:line="240" w:lineRule="auto"/>
        <w:jc w:val="thaiDistribute"/>
        <w:rPr>
          <w:rFonts w:ascii="Arial" w:eastAsia="Calibri" w:hAnsi="Arial" w:cs="Arial"/>
          <w:color w:val="000000"/>
          <w:spacing w:val="-4"/>
          <w:sz w:val="20"/>
          <w:szCs w:val="20"/>
        </w:rPr>
      </w:pPr>
      <w:r w:rsidRPr="006F4CC7">
        <w:rPr>
          <w:rFonts w:ascii="Arial" w:eastAsia="Calibri" w:hAnsi="Arial" w:cs="Arial"/>
          <w:color w:val="000000"/>
          <w:spacing w:val="-4"/>
          <w:sz w:val="20"/>
          <w:szCs w:val="20"/>
        </w:rPr>
        <w:t xml:space="preserve">In preparing the </w:t>
      </w:r>
      <w:r w:rsidR="00BD5FF4" w:rsidRPr="006F4CC7">
        <w:rPr>
          <w:rFonts w:ascii="Arial" w:eastAsia="Calibri" w:hAnsi="Arial" w:cs="Arial"/>
          <w:color w:val="000000"/>
          <w:spacing w:val="-4"/>
          <w:sz w:val="20"/>
          <w:szCs w:val="20"/>
        </w:rPr>
        <w:t xml:space="preserve">consolidated and </w:t>
      </w:r>
      <w:r w:rsidR="00D0685C" w:rsidRPr="006F4CC7">
        <w:rPr>
          <w:rFonts w:ascii="Arial" w:eastAsia="Calibri" w:hAnsi="Arial" w:cs="Arial"/>
          <w:color w:val="000000"/>
          <w:spacing w:val="-4"/>
          <w:sz w:val="20"/>
          <w:szCs w:val="20"/>
        </w:rPr>
        <w:t xml:space="preserve">separate </w:t>
      </w:r>
      <w:r w:rsidRPr="006F4CC7">
        <w:rPr>
          <w:rFonts w:ascii="Arial" w:eastAsia="Calibri" w:hAnsi="Arial" w:cs="Arial"/>
          <w:color w:val="000000"/>
          <w:spacing w:val="-4"/>
          <w:sz w:val="20"/>
          <w:szCs w:val="20"/>
        </w:rPr>
        <w:t xml:space="preserve">financial statements, </w:t>
      </w:r>
      <w:r w:rsidR="00D0685C" w:rsidRPr="006F4CC7">
        <w:rPr>
          <w:rFonts w:ascii="Arial" w:eastAsia="Calibri" w:hAnsi="Arial" w:cs="Arial"/>
          <w:color w:val="000000"/>
          <w:spacing w:val="-4"/>
          <w:sz w:val="20"/>
          <w:szCs w:val="20"/>
        </w:rPr>
        <w:t>the directors are</w:t>
      </w:r>
      <w:r w:rsidRPr="006F4CC7">
        <w:rPr>
          <w:rFonts w:ascii="Arial" w:eastAsia="Calibri" w:hAnsi="Arial" w:cs="Arial"/>
          <w:color w:val="000000"/>
          <w:spacing w:val="-4"/>
          <w:sz w:val="20"/>
          <w:szCs w:val="20"/>
        </w:rPr>
        <w:t xml:space="preserve"> responsible for assessing the </w:t>
      </w:r>
      <w:r w:rsidR="00BD5FF4" w:rsidRPr="006F4CC7">
        <w:rPr>
          <w:rFonts w:ascii="Arial" w:eastAsia="Calibri" w:hAnsi="Arial" w:cs="Arial"/>
          <w:color w:val="000000"/>
          <w:spacing w:val="-4"/>
          <w:sz w:val="20"/>
          <w:szCs w:val="20"/>
        </w:rPr>
        <w:t>Group</w:t>
      </w:r>
      <w:r w:rsidR="00D53AEB" w:rsidRPr="006F4CC7">
        <w:rPr>
          <w:rFonts w:ascii="Arial" w:eastAsia="Calibri" w:hAnsi="Arial" w:cs="Arial"/>
          <w:color w:val="000000"/>
          <w:spacing w:val="-4"/>
          <w:sz w:val="20"/>
          <w:szCs w:val="20"/>
        </w:rPr>
        <w:t>’s</w:t>
      </w:r>
      <w:r w:rsidR="00BD5FF4" w:rsidRPr="006F4CC7">
        <w:rPr>
          <w:rFonts w:ascii="Arial" w:eastAsia="Calibri" w:hAnsi="Arial" w:cs="Arial"/>
          <w:color w:val="000000"/>
          <w:spacing w:val="-4"/>
          <w:sz w:val="20"/>
          <w:szCs w:val="20"/>
        </w:rPr>
        <w:t xml:space="preserve"> and </w:t>
      </w:r>
      <w:r w:rsidR="007A3ACC" w:rsidRPr="006F4CC7">
        <w:rPr>
          <w:rFonts w:ascii="Arial" w:eastAsia="Calibri" w:hAnsi="Arial" w:cs="Arial"/>
          <w:color w:val="000000"/>
          <w:spacing w:val="-4"/>
          <w:sz w:val="20"/>
          <w:szCs w:val="20"/>
        </w:rPr>
        <w:t xml:space="preserve">the </w:t>
      </w:r>
      <w:r w:rsidRPr="006F4CC7">
        <w:rPr>
          <w:rFonts w:ascii="Arial" w:eastAsia="Calibri" w:hAnsi="Arial" w:cs="Arial"/>
          <w:color w:val="000000"/>
          <w:spacing w:val="-4"/>
          <w:sz w:val="20"/>
          <w:szCs w:val="20"/>
        </w:rPr>
        <w:t xml:space="preserve">Company’s ability to continue as a going concern, disclosing, as applicable, matters related to going concern and using the going concern basis of accounting unless </w:t>
      </w:r>
      <w:r w:rsidR="00DB44FA" w:rsidRPr="006F4CC7">
        <w:rPr>
          <w:rFonts w:ascii="Arial" w:eastAsia="Calibri" w:hAnsi="Arial" w:cs="Arial"/>
          <w:color w:val="000000"/>
          <w:spacing w:val="-4"/>
          <w:sz w:val="20"/>
          <w:szCs w:val="20"/>
        </w:rPr>
        <w:t xml:space="preserve">the directors </w:t>
      </w:r>
      <w:r w:rsidRPr="006F4CC7">
        <w:rPr>
          <w:rFonts w:ascii="Arial" w:eastAsia="Calibri" w:hAnsi="Arial" w:cs="Arial"/>
          <w:color w:val="000000"/>
          <w:spacing w:val="-4"/>
          <w:sz w:val="20"/>
          <w:szCs w:val="20"/>
        </w:rPr>
        <w:t xml:space="preserve">either intend to liquidate the </w:t>
      </w:r>
      <w:r w:rsidR="00BD5FF4" w:rsidRPr="006F4CC7">
        <w:rPr>
          <w:rFonts w:ascii="Arial" w:eastAsia="Calibri" w:hAnsi="Arial" w:cs="Arial"/>
          <w:color w:val="000000"/>
          <w:spacing w:val="-4"/>
          <w:sz w:val="20"/>
          <w:szCs w:val="20"/>
        </w:rPr>
        <w:t xml:space="preserve">Group </w:t>
      </w:r>
      <w:r w:rsidR="00900250" w:rsidRPr="006F4CC7">
        <w:rPr>
          <w:rFonts w:ascii="Arial" w:eastAsia="Calibri" w:hAnsi="Arial" w:cs="Arial"/>
          <w:color w:val="000000"/>
          <w:spacing w:val="-4"/>
          <w:sz w:val="20"/>
          <w:szCs w:val="20"/>
        </w:rPr>
        <w:t>and</w:t>
      </w:r>
      <w:r w:rsidR="00BD5FF4" w:rsidRPr="006F4CC7">
        <w:rPr>
          <w:rFonts w:ascii="Arial" w:eastAsia="Calibri" w:hAnsi="Arial" w:cs="Arial"/>
          <w:color w:val="000000"/>
          <w:spacing w:val="-4"/>
          <w:sz w:val="20"/>
          <w:szCs w:val="20"/>
        </w:rPr>
        <w:t xml:space="preserve"> </w:t>
      </w:r>
      <w:r w:rsidR="007A3ACC" w:rsidRPr="006F4CC7">
        <w:rPr>
          <w:rFonts w:ascii="Arial" w:eastAsia="Calibri" w:hAnsi="Arial" w:cs="Arial"/>
          <w:color w:val="000000"/>
          <w:spacing w:val="-4"/>
          <w:sz w:val="20"/>
          <w:szCs w:val="20"/>
        </w:rPr>
        <w:t>the</w:t>
      </w:r>
      <w:r w:rsidR="00BF408C" w:rsidRPr="006F4CC7">
        <w:rPr>
          <w:rFonts w:ascii="Arial" w:eastAsia="Calibri" w:hAnsi="Arial" w:cs="Arial"/>
          <w:color w:val="000000"/>
          <w:spacing w:val="-4"/>
          <w:sz w:val="20"/>
          <w:szCs w:val="20"/>
        </w:rPr>
        <w:t xml:space="preserve"> </w:t>
      </w:r>
      <w:r w:rsidRPr="006F4CC7">
        <w:rPr>
          <w:rFonts w:ascii="Arial" w:eastAsia="Calibri" w:hAnsi="Arial" w:cs="Arial"/>
          <w:color w:val="000000"/>
          <w:spacing w:val="-4"/>
          <w:sz w:val="20"/>
          <w:szCs w:val="20"/>
        </w:rPr>
        <w:t>Company or to cease operations, or has no realistic alternative but to do so.</w:t>
      </w:r>
    </w:p>
    <w:p w14:paraId="024A1D5B" w14:textId="77777777" w:rsidR="00B91979" w:rsidRPr="006F4CC7" w:rsidRDefault="00B91979" w:rsidP="005F2E64">
      <w:pPr>
        <w:spacing w:after="0" w:line="240" w:lineRule="auto"/>
        <w:jc w:val="thaiDistribute"/>
        <w:rPr>
          <w:rFonts w:ascii="Arial" w:hAnsi="Arial" w:cs="Arial"/>
          <w:color w:val="000000"/>
          <w:sz w:val="20"/>
          <w:szCs w:val="20"/>
        </w:rPr>
      </w:pPr>
    </w:p>
    <w:p w14:paraId="7054CEBF" w14:textId="178848F7" w:rsidR="00B91979" w:rsidRPr="006F4CC7" w:rsidRDefault="00E07F94" w:rsidP="006F12F1">
      <w:pPr>
        <w:spacing w:after="0" w:line="240" w:lineRule="auto"/>
        <w:jc w:val="thaiDistribute"/>
        <w:rPr>
          <w:rFonts w:ascii="Arial" w:eastAsia="Calibri" w:hAnsi="Arial" w:cs="Arial"/>
          <w:color w:val="000000"/>
          <w:sz w:val="20"/>
          <w:szCs w:val="20"/>
        </w:rPr>
      </w:pPr>
      <w:r w:rsidRPr="006F4CC7">
        <w:rPr>
          <w:rFonts w:ascii="Arial" w:eastAsia="Calibri" w:hAnsi="Arial" w:cs="Arial"/>
          <w:color w:val="000000"/>
          <w:sz w:val="20"/>
          <w:szCs w:val="20"/>
        </w:rPr>
        <w:t>The a</w:t>
      </w:r>
      <w:r w:rsidR="006651E7" w:rsidRPr="006F4CC7">
        <w:rPr>
          <w:rFonts w:ascii="Arial" w:eastAsia="Calibri" w:hAnsi="Arial" w:cs="Arial"/>
          <w:color w:val="000000"/>
          <w:sz w:val="20"/>
          <w:szCs w:val="20"/>
        </w:rPr>
        <w:t xml:space="preserve">udit </w:t>
      </w:r>
      <w:r w:rsidRPr="006F4CC7">
        <w:rPr>
          <w:rFonts w:ascii="Arial" w:eastAsia="Calibri" w:hAnsi="Arial" w:cs="Arial"/>
          <w:color w:val="000000"/>
          <w:sz w:val="20"/>
          <w:szCs w:val="20"/>
        </w:rPr>
        <w:t>c</w:t>
      </w:r>
      <w:r w:rsidR="006651E7" w:rsidRPr="006F4CC7">
        <w:rPr>
          <w:rFonts w:ascii="Arial" w:eastAsia="Calibri" w:hAnsi="Arial" w:cs="Arial"/>
          <w:color w:val="000000"/>
          <w:sz w:val="20"/>
          <w:szCs w:val="20"/>
        </w:rPr>
        <w:t>ommittee assists</w:t>
      </w:r>
      <w:r w:rsidR="00D0685C" w:rsidRPr="006F4CC7">
        <w:rPr>
          <w:rFonts w:ascii="Arial" w:eastAsia="Calibri" w:hAnsi="Arial" w:cs="Arial"/>
          <w:color w:val="000000"/>
          <w:sz w:val="20"/>
          <w:szCs w:val="20"/>
        </w:rPr>
        <w:t xml:space="preserve"> the directors in discharging their responsibilit</w:t>
      </w:r>
      <w:r w:rsidR="00433A38" w:rsidRPr="006F4CC7">
        <w:rPr>
          <w:rFonts w:ascii="Arial" w:eastAsia="Calibri" w:hAnsi="Arial" w:cs="Arial"/>
          <w:color w:val="000000"/>
          <w:sz w:val="20"/>
          <w:szCs w:val="20"/>
        </w:rPr>
        <w:t>ies</w:t>
      </w:r>
      <w:r w:rsidR="00D0685C" w:rsidRPr="006F4CC7">
        <w:rPr>
          <w:rFonts w:ascii="Arial" w:eastAsia="Calibri" w:hAnsi="Arial" w:cs="Arial"/>
          <w:color w:val="000000"/>
          <w:sz w:val="20"/>
          <w:szCs w:val="20"/>
        </w:rPr>
        <w:t xml:space="preserve"> </w:t>
      </w:r>
      <w:r w:rsidR="00B91979" w:rsidRPr="006F4CC7">
        <w:rPr>
          <w:rFonts w:ascii="Arial" w:eastAsia="Calibri" w:hAnsi="Arial" w:cs="Arial"/>
          <w:color w:val="000000"/>
          <w:sz w:val="20"/>
          <w:szCs w:val="20"/>
        </w:rPr>
        <w:t xml:space="preserve">for overseeing the </w:t>
      </w:r>
      <w:r w:rsidR="00BD5FF4" w:rsidRPr="006F4CC7">
        <w:rPr>
          <w:rFonts w:ascii="Arial" w:eastAsia="Calibri" w:hAnsi="Arial" w:cs="Arial"/>
          <w:color w:val="000000"/>
          <w:sz w:val="20"/>
          <w:szCs w:val="20"/>
        </w:rPr>
        <w:t>Group</w:t>
      </w:r>
      <w:r w:rsidR="00D53AEB" w:rsidRPr="006F4CC7">
        <w:rPr>
          <w:rFonts w:ascii="Arial" w:eastAsia="Calibri" w:hAnsi="Arial" w:cs="Arial"/>
          <w:color w:val="000000"/>
          <w:sz w:val="20"/>
          <w:szCs w:val="20"/>
        </w:rPr>
        <w:t>’s</w:t>
      </w:r>
      <w:r w:rsidR="00BD5FF4" w:rsidRPr="006F4CC7">
        <w:rPr>
          <w:rFonts w:ascii="Arial" w:eastAsia="Calibri" w:hAnsi="Arial" w:cs="Arial"/>
          <w:color w:val="000000"/>
          <w:sz w:val="20"/>
          <w:szCs w:val="20"/>
        </w:rPr>
        <w:t xml:space="preserve"> and </w:t>
      </w:r>
      <w:r w:rsidR="007A3ACC" w:rsidRPr="006F4CC7">
        <w:rPr>
          <w:rFonts w:ascii="Arial" w:eastAsia="Calibri" w:hAnsi="Arial" w:cs="Arial"/>
          <w:color w:val="000000"/>
          <w:sz w:val="20"/>
          <w:szCs w:val="20"/>
        </w:rPr>
        <w:t xml:space="preserve">the </w:t>
      </w:r>
      <w:r w:rsidR="00B91979" w:rsidRPr="006F4CC7">
        <w:rPr>
          <w:rFonts w:ascii="Arial" w:eastAsia="Calibri" w:hAnsi="Arial" w:cs="Arial"/>
          <w:color w:val="000000"/>
          <w:sz w:val="20"/>
          <w:szCs w:val="20"/>
        </w:rPr>
        <w:t xml:space="preserve">Company’s financial reporting process. </w:t>
      </w:r>
    </w:p>
    <w:p w14:paraId="37EDBAA3" w14:textId="77777777" w:rsidR="005E3352" w:rsidRPr="006F4CC7" w:rsidRDefault="005E3352" w:rsidP="006F12F1">
      <w:pPr>
        <w:pStyle w:val="Default"/>
        <w:jc w:val="thaiDistribute"/>
        <w:rPr>
          <w:rFonts w:eastAsia="Calibri"/>
          <w:b/>
          <w:bCs/>
          <w:sz w:val="20"/>
          <w:szCs w:val="20"/>
        </w:rPr>
      </w:pPr>
    </w:p>
    <w:p w14:paraId="281AA403" w14:textId="1B4EC524" w:rsidR="00620568" w:rsidRPr="006F4CC7" w:rsidRDefault="00E07F94" w:rsidP="006F12F1">
      <w:pPr>
        <w:pStyle w:val="Default"/>
        <w:jc w:val="thaiDistribute"/>
        <w:rPr>
          <w:rFonts w:eastAsia="Calibri"/>
          <w:b/>
          <w:bCs/>
          <w:sz w:val="20"/>
          <w:szCs w:val="20"/>
        </w:rPr>
      </w:pPr>
      <w:r w:rsidRPr="006F4CC7">
        <w:rPr>
          <w:rFonts w:eastAsia="Calibri"/>
          <w:b/>
          <w:bCs/>
          <w:sz w:val="20"/>
          <w:szCs w:val="20"/>
        </w:rPr>
        <w:t>Auditor’s r</w:t>
      </w:r>
      <w:r w:rsidR="00790517" w:rsidRPr="006F4CC7">
        <w:rPr>
          <w:rFonts w:eastAsia="Calibri"/>
          <w:b/>
          <w:bCs/>
          <w:sz w:val="20"/>
          <w:szCs w:val="20"/>
        </w:rPr>
        <w:t xml:space="preserve">esponsibilities for the </w:t>
      </w:r>
      <w:r w:rsidRPr="006F4CC7">
        <w:rPr>
          <w:rFonts w:eastAsia="Calibri"/>
          <w:b/>
          <w:bCs/>
          <w:sz w:val="20"/>
          <w:szCs w:val="20"/>
        </w:rPr>
        <w:t>a</w:t>
      </w:r>
      <w:r w:rsidR="00790517" w:rsidRPr="006F4CC7">
        <w:rPr>
          <w:rFonts w:eastAsia="Calibri"/>
          <w:b/>
          <w:bCs/>
          <w:sz w:val="20"/>
          <w:szCs w:val="20"/>
        </w:rPr>
        <w:t xml:space="preserve">udit of the </w:t>
      </w:r>
      <w:r w:rsidRPr="006F4CC7">
        <w:rPr>
          <w:rFonts w:eastAsia="Calibri"/>
          <w:b/>
          <w:bCs/>
          <w:sz w:val="20"/>
          <w:szCs w:val="20"/>
        </w:rPr>
        <w:t>c</w:t>
      </w:r>
      <w:r w:rsidR="00900250" w:rsidRPr="006F4CC7">
        <w:rPr>
          <w:rFonts w:eastAsia="Calibri"/>
          <w:b/>
          <w:bCs/>
          <w:sz w:val="20"/>
          <w:szCs w:val="20"/>
        </w:rPr>
        <w:t xml:space="preserve">onsolidated and </w:t>
      </w:r>
      <w:r w:rsidRPr="006F4CC7">
        <w:rPr>
          <w:rFonts w:eastAsia="Calibri"/>
          <w:b/>
          <w:bCs/>
          <w:sz w:val="20"/>
          <w:szCs w:val="20"/>
        </w:rPr>
        <w:t>s</w:t>
      </w:r>
      <w:r w:rsidR="00D0685C" w:rsidRPr="006F4CC7">
        <w:rPr>
          <w:rFonts w:eastAsia="Calibri"/>
          <w:b/>
          <w:bCs/>
          <w:sz w:val="20"/>
          <w:szCs w:val="20"/>
        </w:rPr>
        <w:t xml:space="preserve">eparate </w:t>
      </w:r>
      <w:r w:rsidRPr="006F4CC7">
        <w:rPr>
          <w:rFonts w:eastAsia="Calibri"/>
          <w:b/>
          <w:bCs/>
          <w:sz w:val="20"/>
          <w:szCs w:val="20"/>
        </w:rPr>
        <w:t>f</w:t>
      </w:r>
      <w:r w:rsidR="00790517" w:rsidRPr="006F4CC7">
        <w:rPr>
          <w:rFonts w:eastAsia="Calibri"/>
          <w:b/>
          <w:bCs/>
          <w:sz w:val="20"/>
          <w:szCs w:val="20"/>
        </w:rPr>
        <w:t xml:space="preserve">inancial </w:t>
      </w:r>
      <w:r w:rsidRPr="006F4CC7">
        <w:rPr>
          <w:rFonts w:eastAsia="Calibri"/>
          <w:b/>
          <w:bCs/>
          <w:sz w:val="20"/>
          <w:szCs w:val="20"/>
        </w:rPr>
        <w:t>s</w:t>
      </w:r>
      <w:r w:rsidR="00790517" w:rsidRPr="006F4CC7">
        <w:rPr>
          <w:rFonts w:eastAsia="Calibri"/>
          <w:b/>
          <w:bCs/>
          <w:sz w:val="20"/>
          <w:szCs w:val="20"/>
        </w:rPr>
        <w:t>tatements</w:t>
      </w:r>
    </w:p>
    <w:p w14:paraId="2112CC07" w14:textId="77777777" w:rsidR="008533AD" w:rsidRPr="006F4CC7" w:rsidRDefault="008533AD" w:rsidP="006F12F1">
      <w:pPr>
        <w:pStyle w:val="Default"/>
        <w:jc w:val="thaiDistribute"/>
        <w:rPr>
          <w:rFonts w:eastAsia="Calibri"/>
          <w:b/>
          <w:bCs/>
          <w:sz w:val="12"/>
          <w:szCs w:val="12"/>
        </w:rPr>
      </w:pPr>
    </w:p>
    <w:p w14:paraId="6929EBB7" w14:textId="77777777" w:rsidR="00B41E8B" w:rsidRPr="006F4CC7" w:rsidRDefault="00B91979" w:rsidP="007C771E">
      <w:pPr>
        <w:pStyle w:val="Default"/>
        <w:jc w:val="thaiDistribute"/>
        <w:rPr>
          <w:rFonts w:eastAsia="Calibri"/>
          <w:sz w:val="20"/>
          <w:szCs w:val="20"/>
        </w:rPr>
      </w:pPr>
      <w:r w:rsidRPr="006F4CC7">
        <w:rPr>
          <w:rFonts w:eastAsia="Calibri"/>
          <w:sz w:val="20"/>
          <w:szCs w:val="20"/>
        </w:rPr>
        <w:t xml:space="preserve">My objectives are to obtain reasonable assurance about whether the </w:t>
      </w:r>
      <w:r w:rsidR="00E07F94" w:rsidRPr="006F4CC7">
        <w:rPr>
          <w:rFonts w:eastAsia="Calibri"/>
          <w:sz w:val="20"/>
          <w:szCs w:val="20"/>
        </w:rPr>
        <w:t xml:space="preserve">consolidated and </w:t>
      </w:r>
      <w:r w:rsidR="006A1977" w:rsidRPr="006F4CC7">
        <w:rPr>
          <w:rFonts w:eastAsia="Calibri"/>
          <w:sz w:val="20"/>
          <w:szCs w:val="20"/>
        </w:rPr>
        <w:t>separate</w:t>
      </w:r>
      <w:r w:rsidR="00900250" w:rsidRPr="006F4CC7">
        <w:rPr>
          <w:rFonts w:eastAsia="Calibri"/>
          <w:sz w:val="20"/>
          <w:szCs w:val="20"/>
        </w:rPr>
        <w:t xml:space="preserve"> </w:t>
      </w:r>
      <w:r w:rsidRPr="006F4CC7">
        <w:rPr>
          <w:rFonts w:eastAsia="Calibri"/>
          <w:sz w:val="20"/>
          <w:szCs w:val="20"/>
        </w:rPr>
        <w:t xml:space="preserve">financial statements </w:t>
      </w:r>
      <w:proofErr w:type="gramStart"/>
      <w:r w:rsidRPr="006F4CC7">
        <w:rPr>
          <w:rFonts w:eastAsia="Calibri"/>
          <w:sz w:val="20"/>
          <w:szCs w:val="20"/>
        </w:rPr>
        <w:t>as a whole are</w:t>
      </w:r>
      <w:proofErr w:type="gramEnd"/>
      <w:r w:rsidRPr="006F4CC7">
        <w:rPr>
          <w:rFonts w:eastAsia="Calibri"/>
          <w:sz w:val="20"/>
          <w:szCs w:val="20"/>
        </w:rPr>
        <w:t xml:space="preserve"> free from material misstatement, whether due to fraud or error, and to issue an auditor’s report that includes my opinion. Reasonable assurance is a high level of </w:t>
      </w:r>
      <w:proofErr w:type="gramStart"/>
      <w:r w:rsidRPr="006F4CC7">
        <w:rPr>
          <w:rFonts w:eastAsia="Calibri"/>
          <w:sz w:val="20"/>
          <w:szCs w:val="20"/>
        </w:rPr>
        <w:t>assurance, but</w:t>
      </w:r>
      <w:proofErr w:type="gramEnd"/>
      <w:r w:rsidRPr="006F4CC7">
        <w:rPr>
          <w:rFonts w:eastAsia="Calibri"/>
          <w:sz w:val="20"/>
          <w:szCs w:val="20"/>
        </w:rPr>
        <w:t xml:space="preserve"> is </w:t>
      </w:r>
      <w:r w:rsidRPr="006F4CC7">
        <w:rPr>
          <w:rFonts w:eastAsia="Calibri"/>
          <w:spacing w:val="-6"/>
          <w:sz w:val="20"/>
          <w:szCs w:val="20"/>
        </w:rPr>
        <w:t xml:space="preserve">not a guarantee that an audit conducted in accordance with TSAs will </w:t>
      </w:r>
      <w:r w:rsidR="00B41E8B" w:rsidRPr="006F4CC7">
        <w:rPr>
          <w:rFonts w:eastAsia="Calibri"/>
          <w:spacing w:val="-6"/>
          <w:sz w:val="20"/>
          <w:szCs w:val="20"/>
        </w:rPr>
        <w:t>always detect a material misstatement</w:t>
      </w:r>
      <w:r w:rsidR="00B41E8B" w:rsidRPr="006F4CC7">
        <w:rPr>
          <w:rFonts w:eastAsia="Calibri"/>
          <w:sz w:val="20"/>
          <w:szCs w:val="20"/>
        </w:rPr>
        <w:t xml:space="preserve"> when it exists. Misstatements can arise from fraud or error and are considered material if, individually or in the aggregate, they could reasonably be expected to influence the economic decisions of users taken </w:t>
      </w:r>
      <w:proofErr w:type="gramStart"/>
      <w:r w:rsidR="00B41E8B" w:rsidRPr="006F4CC7">
        <w:rPr>
          <w:rFonts w:eastAsia="Calibri"/>
          <w:sz w:val="20"/>
          <w:szCs w:val="20"/>
        </w:rPr>
        <w:t>on the basis of</w:t>
      </w:r>
      <w:proofErr w:type="gramEnd"/>
      <w:r w:rsidR="00B41E8B" w:rsidRPr="006F4CC7">
        <w:rPr>
          <w:rFonts w:eastAsia="Calibri"/>
          <w:sz w:val="20"/>
          <w:szCs w:val="20"/>
        </w:rPr>
        <w:t xml:space="preserve"> these consolidated and separate financial statements.</w:t>
      </w:r>
    </w:p>
    <w:p w14:paraId="0844B266" w14:textId="77777777" w:rsidR="00B41E8B" w:rsidRPr="006F4CC7" w:rsidRDefault="00B41E8B" w:rsidP="00B41E8B">
      <w:pPr>
        <w:pStyle w:val="Default"/>
        <w:jc w:val="thaiDistribute"/>
        <w:rPr>
          <w:sz w:val="20"/>
          <w:szCs w:val="20"/>
        </w:rPr>
      </w:pPr>
    </w:p>
    <w:p w14:paraId="4E7CA5DB" w14:textId="6263F994" w:rsidR="00B41E8B" w:rsidRPr="006F4CC7" w:rsidRDefault="00B41E8B" w:rsidP="00B41E8B">
      <w:pPr>
        <w:pStyle w:val="Default"/>
        <w:jc w:val="thaiDistribute"/>
        <w:rPr>
          <w:rFonts w:eastAsia="Calibri"/>
          <w:sz w:val="20"/>
          <w:szCs w:val="20"/>
        </w:rPr>
      </w:pPr>
      <w:r w:rsidRPr="006F4CC7">
        <w:rPr>
          <w:rFonts w:eastAsia="Calibri"/>
          <w:sz w:val="20"/>
          <w:szCs w:val="20"/>
        </w:rPr>
        <w:t>As part of an audit in accordance with TSAs, I exercise professional judg</w:t>
      </w:r>
      <w:r w:rsidR="00D53AEB" w:rsidRPr="006F4CC7">
        <w:rPr>
          <w:rFonts w:eastAsia="Calibri"/>
          <w:sz w:val="20"/>
          <w:szCs w:val="20"/>
        </w:rPr>
        <w:t>e</w:t>
      </w:r>
      <w:r w:rsidRPr="006F4CC7">
        <w:rPr>
          <w:rFonts w:eastAsia="Calibri"/>
          <w:sz w:val="20"/>
          <w:szCs w:val="20"/>
        </w:rPr>
        <w:t xml:space="preserve">ment and maintain professional scepticism throughout the audit. I also: </w:t>
      </w:r>
    </w:p>
    <w:p w14:paraId="1EF3A23F" w14:textId="77777777" w:rsidR="00B41E8B" w:rsidRPr="006F4CC7" w:rsidRDefault="00B41E8B" w:rsidP="00B41E8B">
      <w:pPr>
        <w:pStyle w:val="Default"/>
        <w:jc w:val="thaiDistribute"/>
        <w:rPr>
          <w:sz w:val="20"/>
          <w:szCs w:val="20"/>
        </w:rPr>
      </w:pPr>
    </w:p>
    <w:p w14:paraId="77E6227F" w14:textId="361DE0C6" w:rsidR="00E866BB" w:rsidRPr="006F4CC7" w:rsidRDefault="00B41E8B" w:rsidP="007F163D">
      <w:pPr>
        <w:pStyle w:val="Default"/>
        <w:numPr>
          <w:ilvl w:val="0"/>
          <w:numId w:val="1"/>
        </w:numPr>
        <w:tabs>
          <w:tab w:val="clear" w:pos="720"/>
          <w:tab w:val="num" w:pos="540"/>
        </w:tabs>
        <w:ind w:left="540"/>
        <w:jc w:val="thaiDistribute"/>
        <w:rPr>
          <w:rFonts w:eastAsia="Calibri"/>
          <w:sz w:val="20"/>
          <w:szCs w:val="20"/>
        </w:rPr>
      </w:pPr>
      <w:r w:rsidRPr="006F4CC7">
        <w:rPr>
          <w:rFonts w:eastAsia="Calibri"/>
          <w:sz w:val="20"/>
          <w:szCs w:val="20"/>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3344D270" w14:textId="77777777" w:rsidR="005E3352" w:rsidRPr="006F4CC7" w:rsidRDefault="005E3352" w:rsidP="005E3352">
      <w:pPr>
        <w:pStyle w:val="Default"/>
        <w:ind w:left="540"/>
        <w:jc w:val="thaiDistribute"/>
        <w:rPr>
          <w:rFonts w:eastAsia="Calibri"/>
          <w:sz w:val="12"/>
          <w:szCs w:val="12"/>
        </w:rPr>
      </w:pPr>
    </w:p>
    <w:p w14:paraId="7091421B" w14:textId="765FCB93" w:rsidR="00C848BC" w:rsidRPr="006F4CC7" w:rsidRDefault="00B41E8B" w:rsidP="00CB3055">
      <w:pPr>
        <w:pStyle w:val="Default"/>
        <w:numPr>
          <w:ilvl w:val="0"/>
          <w:numId w:val="1"/>
        </w:numPr>
        <w:tabs>
          <w:tab w:val="clear" w:pos="720"/>
          <w:tab w:val="num" w:pos="540"/>
        </w:tabs>
        <w:ind w:left="540"/>
        <w:jc w:val="thaiDistribute"/>
        <w:rPr>
          <w:rFonts w:eastAsia="Calibri"/>
          <w:sz w:val="20"/>
          <w:szCs w:val="20"/>
        </w:rPr>
      </w:pPr>
      <w:r w:rsidRPr="006F4CC7">
        <w:rPr>
          <w:rFonts w:eastAsia="Calibri"/>
          <w:sz w:val="20"/>
          <w:szCs w:val="20"/>
        </w:rPr>
        <w:t xml:space="preserve">Obtain an understanding of internal control relevant to the audit </w:t>
      </w:r>
      <w:proofErr w:type="gramStart"/>
      <w:r w:rsidRPr="006F4CC7">
        <w:rPr>
          <w:rFonts w:eastAsia="Calibri"/>
          <w:sz w:val="20"/>
          <w:szCs w:val="20"/>
        </w:rPr>
        <w:t>in order to</w:t>
      </w:r>
      <w:proofErr w:type="gramEnd"/>
      <w:r w:rsidRPr="006F4CC7">
        <w:rPr>
          <w:rFonts w:eastAsia="Calibri"/>
          <w:sz w:val="20"/>
          <w:szCs w:val="20"/>
        </w:rPr>
        <w:t xml:space="preserve"> design audit procedures that are appropriate in the circumstances, but not for the purpose of expressing an opinion on the effectiveness of the Group</w:t>
      </w:r>
      <w:r w:rsidR="00D53AEB" w:rsidRPr="006F4CC7">
        <w:rPr>
          <w:rFonts w:eastAsia="Calibri"/>
          <w:sz w:val="20"/>
          <w:szCs w:val="20"/>
        </w:rPr>
        <w:t>’s</w:t>
      </w:r>
      <w:r w:rsidRPr="006F4CC7">
        <w:rPr>
          <w:rFonts w:eastAsia="Calibri"/>
          <w:sz w:val="20"/>
          <w:szCs w:val="20"/>
        </w:rPr>
        <w:t xml:space="preserve"> and the Company’s internal control. </w:t>
      </w:r>
      <w:r w:rsidR="00C848BC" w:rsidRPr="006F4CC7">
        <w:rPr>
          <w:rFonts w:eastAsia="Calibri"/>
          <w:sz w:val="20"/>
          <w:szCs w:val="20"/>
        </w:rPr>
        <w:br w:type="page"/>
      </w:r>
    </w:p>
    <w:p w14:paraId="2E3B0A37" w14:textId="15F19942" w:rsidR="009E67FA" w:rsidRPr="006F4CC7" w:rsidRDefault="00FE6CF3" w:rsidP="006F12F1">
      <w:pPr>
        <w:pStyle w:val="Default"/>
        <w:numPr>
          <w:ilvl w:val="0"/>
          <w:numId w:val="1"/>
        </w:numPr>
        <w:tabs>
          <w:tab w:val="clear" w:pos="720"/>
          <w:tab w:val="num" w:pos="540"/>
        </w:tabs>
        <w:ind w:left="540"/>
        <w:jc w:val="thaiDistribute"/>
        <w:rPr>
          <w:rFonts w:eastAsia="Calibri"/>
          <w:sz w:val="20"/>
          <w:szCs w:val="20"/>
        </w:rPr>
      </w:pPr>
      <w:r w:rsidRPr="006F4CC7">
        <w:rPr>
          <w:rFonts w:eastAsia="Calibri"/>
          <w:sz w:val="20"/>
          <w:szCs w:val="20"/>
        </w:rPr>
        <w:lastRenderedPageBreak/>
        <w:t xml:space="preserve">Evaluate the appropriateness of accounting policies used and the reasonableness of accounting estimates and related disclosures made by </w:t>
      </w:r>
      <w:r w:rsidR="00D0685C" w:rsidRPr="006F4CC7">
        <w:rPr>
          <w:rFonts w:eastAsia="Calibri"/>
          <w:sz w:val="20"/>
          <w:szCs w:val="20"/>
        </w:rPr>
        <w:t>the directors</w:t>
      </w:r>
      <w:r w:rsidRPr="006F4CC7">
        <w:rPr>
          <w:rFonts w:eastAsia="Calibri"/>
          <w:sz w:val="20"/>
          <w:szCs w:val="20"/>
        </w:rPr>
        <w:t xml:space="preserve">. </w:t>
      </w:r>
    </w:p>
    <w:p w14:paraId="36CDF7DF" w14:textId="77777777" w:rsidR="006F356C" w:rsidRPr="006F4CC7" w:rsidRDefault="006F356C" w:rsidP="006F356C">
      <w:pPr>
        <w:pStyle w:val="Default"/>
        <w:ind w:left="540"/>
        <w:jc w:val="thaiDistribute"/>
        <w:rPr>
          <w:rFonts w:eastAsia="Calibri"/>
          <w:sz w:val="12"/>
          <w:szCs w:val="12"/>
        </w:rPr>
      </w:pPr>
    </w:p>
    <w:p w14:paraId="2A039A20" w14:textId="7D243A1C" w:rsidR="0049535D" w:rsidRPr="006F4CC7" w:rsidRDefault="00FE6CF3" w:rsidP="006F12F1">
      <w:pPr>
        <w:pStyle w:val="Default"/>
        <w:numPr>
          <w:ilvl w:val="0"/>
          <w:numId w:val="1"/>
        </w:numPr>
        <w:tabs>
          <w:tab w:val="clear" w:pos="720"/>
          <w:tab w:val="num" w:pos="540"/>
        </w:tabs>
        <w:ind w:left="540"/>
        <w:jc w:val="thaiDistribute"/>
        <w:rPr>
          <w:rFonts w:eastAsia="Calibri"/>
          <w:sz w:val="20"/>
          <w:szCs w:val="20"/>
        </w:rPr>
      </w:pPr>
      <w:r w:rsidRPr="006F4CC7">
        <w:rPr>
          <w:rFonts w:eastAsia="Calibri"/>
          <w:sz w:val="20"/>
          <w:szCs w:val="20"/>
        </w:rPr>
        <w:t xml:space="preserve">Conclude on the appropriateness of </w:t>
      </w:r>
      <w:r w:rsidR="00D0685C" w:rsidRPr="006F4CC7">
        <w:rPr>
          <w:rFonts w:eastAsia="Calibri"/>
          <w:sz w:val="20"/>
          <w:szCs w:val="20"/>
        </w:rPr>
        <w:t>the directors’</w:t>
      </w:r>
      <w:r w:rsidRPr="006F4CC7">
        <w:rPr>
          <w:rFonts w:eastAsia="Calibri"/>
          <w:sz w:val="20"/>
          <w:szCs w:val="20"/>
        </w:rPr>
        <w:t xml:space="preserve"> use of the going concern basis of accounting and, based on the audit evidence obtained, whether a material uncertainty exists related to events or conditions that may cast significant doubt on the </w:t>
      </w:r>
      <w:r w:rsidR="00900250" w:rsidRPr="006F4CC7">
        <w:rPr>
          <w:rFonts w:eastAsia="Calibri"/>
          <w:sz w:val="20"/>
          <w:szCs w:val="20"/>
        </w:rPr>
        <w:t>Group</w:t>
      </w:r>
      <w:r w:rsidR="00D53AEB" w:rsidRPr="006F4CC7">
        <w:rPr>
          <w:rFonts w:eastAsia="Calibri"/>
          <w:sz w:val="20"/>
          <w:szCs w:val="20"/>
        </w:rPr>
        <w:t>’s</w:t>
      </w:r>
      <w:r w:rsidR="00900250" w:rsidRPr="006F4CC7">
        <w:rPr>
          <w:rFonts w:eastAsia="Calibri"/>
          <w:sz w:val="20"/>
          <w:szCs w:val="20"/>
        </w:rPr>
        <w:t xml:space="preserve"> and </w:t>
      </w:r>
      <w:r w:rsidR="007A3ACC" w:rsidRPr="006F4CC7">
        <w:rPr>
          <w:rFonts w:eastAsia="Calibri"/>
          <w:sz w:val="20"/>
          <w:szCs w:val="20"/>
        </w:rPr>
        <w:t xml:space="preserve">the </w:t>
      </w:r>
      <w:r w:rsidRPr="006F4CC7">
        <w:rPr>
          <w:rFonts w:eastAsia="Calibri"/>
          <w:sz w:val="20"/>
          <w:szCs w:val="20"/>
        </w:rPr>
        <w:t xml:space="preserve">Company’s ability to continue as a going concern. If I conclude that a material uncertainty exists, I am required to draw attention </w:t>
      </w:r>
      <w:r w:rsidRPr="006F4CC7">
        <w:rPr>
          <w:rFonts w:eastAsia="Calibri"/>
          <w:spacing w:val="-2"/>
          <w:sz w:val="20"/>
          <w:szCs w:val="20"/>
        </w:rPr>
        <w:t>in my auditor’s report to the related disclosures in the</w:t>
      </w:r>
      <w:r w:rsidR="00D11F81" w:rsidRPr="006F4CC7">
        <w:rPr>
          <w:rFonts w:eastAsia="Calibri"/>
          <w:spacing w:val="-2"/>
          <w:sz w:val="20"/>
          <w:szCs w:val="20"/>
        </w:rPr>
        <w:t xml:space="preserve"> consolidated and </w:t>
      </w:r>
      <w:r w:rsidR="00D0685C" w:rsidRPr="006F4CC7">
        <w:rPr>
          <w:rFonts w:eastAsia="Calibri"/>
          <w:spacing w:val="-2"/>
          <w:sz w:val="20"/>
          <w:szCs w:val="20"/>
        </w:rPr>
        <w:t xml:space="preserve">separate </w:t>
      </w:r>
      <w:r w:rsidRPr="006F4CC7">
        <w:rPr>
          <w:rFonts w:eastAsia="Calibri"/>
          <w:spacing w:val="-2"/>
          <w:sz w:val="20"/>
          <w:szCs w:val="20"/>
        </w:rPr>
        <w:t>financial statements</w:t>
      </w:r>
      <w:r w:rsidRPr="006F4CC7">
        <w:rPr>
          <w:rFonts w:eastAsia="Calibri"/>
          <w:sz w:val="20"/>
          <w:szCs w:val="20"/>
        </w:rPr>
        <w:t xml:space="preserve"> or, if such disclosures are inadequate, to modify my opinion. My conclusions are based on the audit evidence obtained up to the date of my auditor’s report. However, future events or conditions may cause the </w:t>
      </w:r>
      <w:r w:rsidR="00900250" w:rsidRPr="006F4CC7">
        <w:rPr>
          <w:rFonts w:eastAsia="Calibri"/>
          <w:sz w:val="20"/>
          <w:szCs w:val="20"/>
        </w:rPr>
        <w:t xml:space="preserve">Group and </w:t>
      </w:r>
      <w:r w:rsidR="007A3ACC" w:rsidRPr="006F4CC7">
        <w:rPr>
          <w:rFonts w:eastAsia="Calibri"/>
          <w:sz w:val="20"/>
          <w:szCs w:val="20"/>
        </w:rPr>
        <w:t xml:space="preserve">the </w:t>
      </w:r>
      <w:r w:rsidRPr="006F4CC7">
        <w:rPr>
          <w:rFonts w:eastAsia="Calibri"/>
          <w:sz w:val="20"/>
          <w:szCs w:val="20"/>
        </w:rPr>
        <w:t xml:space="preserve">Company to cease to continue as a going concern. </w:t>
      </w:r>
    </w:p>
    <w:p w14:paraId="71D64B6A" w14:textId="77777777" w:rsidR="001746F3" w:rsidRPr="006F4CC7" w:rsidRDefault="001746F3" w:rsidP="00040E1C">
      <w:pPr>
        <w:pStyle w:val="Default"/>
        <w:ind w:left="540"/>
        <w:jc w:val="thaiDistribute"/>
        <w:rPr>
          <w:rFonts w:eastAsia="Calibri"/>
          <w:sz w:val="12"/>
          <w:szCs w:val="12"/>
        </w:rPr>
      </w:pPr>
    </w:p>
    <w:p w14:paraId="1A468502" w14:textId="77777777" w:rsidR="0049535D" w:rsidRPr="006F4CC7" w:rsidRDefault="00FE6CF3" w:rsidP="006F12F1">
      <w:pPr>
        <w:pStyle w:val="Default"/>
        <w:numPr>
          <w:ilvl w:val="0"/>
          <w:numId w:val="1"/>
        </w:numPr>
        <w:tabs>
          <w:tab w:val="clear" w:pos="720"/>
          <w:tab w:val="num" w:pos="540"/>
        </w:tabs>
        <w:ind w:left="540"/>
        <w:jc w:val="thaiDistribute"/>
        <w:rPr>
          <w:rFonts w:eastAsia="Calibri"/>
          <w:sz w:val="20"/>
          <w:szCs w:val="20"/>
        </w:rPr>
      </w:pPr>
      <w:r w:rsidRPr="006F4CC7">
        <w:rPr>
          <w:rFonts w:eastAsia="Calibri"/>
          <w:sz w:val="20"/>
          <w:szCs w:val="20"/>
        </w:rPr>
        <w:t xml:space="preserve">Evaluate the overall presentation, structure and content of the </w:t>
      </w:r>
      <w:r w:rsidR="00900250" w:rsidRPr="006F4CC7">
        <w:rPr>
          <w:rFonts w:eastAsia="Calibri"/>
          <w:sz w:val="20"/>
          <w:szCs w:val="20"/>
        </w:rPr>
        <w:t xml:space="preserve">consolidated and </w:t>
      </w:r>
      <w:r w:rsidR="00D0685C" w:rsidRPr="006F4CC7">
        <w:rPr>
          <w:rFonts w:eastAsia="Calibri"/>
          <w:sz w:val="20"/>
          <w:szCs w:val="20"/>
        </w:rPr>
        <w:t xml:space="preserve">separate </w:t>
      </w:r>
      <w:r w:rsidRPr="006F4CC7">
        <w:rPr>
          <w:rFonts w:eastAsia="Calibri"/>
          <w:sz w:val="20"/>
          <w:szCs w:val="20"/>
        </w:rPr>
        <w:t xml:space="preserve">financial </w:t>
      </w:r>
      <w:r w:rsidRPr="006F4CC7">
        <w:rPr>
          <w:rFonts w:eastAsia="Calibri"/>
          <w:spacing w:val="-4"/>
          <w:sz w:val="20"/>
          <w:szCs w:val="20"/>
        </w:rPr>
        <w:t xml:space="preserve">statements, including the disclosures, and whether the </w:t>
      </w:r>
      <w:r w:rsidR="00900250" w:rsidRPr="006F4CC7">
        <w:rPr>
          <w:rFonts w:eastAsia="Calibri"/>
          <w:spacing w:val="-4"/>
          <w:sz w:val="20"/>
          <w:szCs w:val="20"/>
        </w:rPr>
        <w:t xml:space="preserve">consolidated and </w:t>
      </w:r>
      <w:r w:rsidR="00D0685C" w:rsidRPr="006F4CC7">
        <w:rPr>
          <w:rFonts w:eastAsia="Calibri"/>
          <w:spacing w:val="-4"/>
          <w:sz w:val="20"/>
          <w:szCs w:val="20"/>
        </w:rPr>
        <w:t xml:space="preserve">separate </w:t>
      </w:r>
      <w:r w:rsidRPr="006F4CC7">
        <w:rPr>
          <w:rFonts w:eastAsia="Calibri"/>
          <w:spacing w:val="-4"/>
          <w:sz w:val="20"/>
          <w:szCs w:val="20"/>
        </w:rPr>
        <w:t>financial statements</w:t>
      </w:r>
      <w:r w:rsidRPr="006F4CC7">
        <w:rPr>
          <w:rFonts w:eastAsia="Calibri"/>
          <w:sz w:val="20"/>
          <w:szCs w:val="20"/>
        </w:rPr>
        <w:t xml:space="preserve"> represent the underlying transactions and events in a manner that achieves fair presentation. </w:t>
      </w:r>
    </w:p>
    <w:p w14:paraId="1E6966EF" w14:textId="77777777" w:rsidR="00463394" w:rsidRPr="006F4CC7" w:rsidRDefault="00463394" w:rsidP="006F12F1">
      <w:pPr>
        <w:pStyle w:val="Default"/>
        <w:ind w:left="540"/>
        <w:jc w:val="thaiDistribute"/>
        <w:rPr>
          <w:rFonts w:eastAsia="Calibri"/>
          <w:sz w:val="12"/>
          <w:szCs w:val="12"/>
          <w:cs/>
        </w:rPr>
      </w:pPr>
    </w:p>
    <w:p w14:paraId="4C9EA40F" w14:textId="674A0005" w:rsidR="00B41448" w:rsidRPr="006F4CC7" w:rsidRDefault="002F280C" w:rsidP="006F12F1">
      <w:pPr>
        <w:pStyle w:val="Default"/>
        <w:numPr>
          <w:ilvl w:val="0"/>
          <w:numId w:val="1"/>
        </w:numPr>
        <w:tabs>
          <w:tab w:val="clear" w:pos="720"/>
          <w:tab w:val="num" w:pos="540"/>
        </w:tabs>
        <w:ind w:left="540"/>
        <w:jc w:val="thaiDistribute"/>
        <w:rPr>
          <w:rFonts w:eastAsia="Calibri"/>
          <w:sz w:val="20"/>
          <w:szCs w:val="20"/>
        </w:rPr>
      </w:pPr>
      <w:r w:rsidRPr="006F4CC7">
        <w:rPr>
          <w:rFonts w:eastAsia="Calibri"/>
          <w:sz w:val="20"/>
          <w:szCs w:val="20"/>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7D08A6FE" w14:textId="77777777" w:rsidR="00B91979" w:rsidRPr="006F4CC7" w:rsidRDefault="00B91979" w:rsidP="00753D44">
      <w:pPr>
        <w:pStyle w:val="Default"/>
        <w:jc w:val="thaiDistribute"/>
        <w:rPr>
          <w:sz w:val="20"/>
          <w:szCs w:val="20"/>
        </w:rPr>
      </w:pPr>
    </w:p>
    <w:p w14:paraId="4FFB4C6B" w14:textId="77777777" w:rsidR="00B91979" w:rsidRPr="006F4CC7" w:rsidRDefault="00B91979" w:rsidP="005F2E64">
      <w:pPr>
        <w:pStyle w:val="Default"/>
        <w:jc w:val="thaiDistribute"/>
        <w:rPr>
          <w:rFonts w:eastAsia="Calibri"/>
          <w:sz w:val="20"/>
          <w:szCs w:val="20"/>
        </w:rPr>
      </w:pPr>
      <w:r w:rsidRPr="006F4CC7">
        <w:rPr>
          <w:rFonts w:eastAsia="Calibri"/>
          <w:sz w:val="20"/>
          <w:szCs w:val="20"/>
        </w:rPr>
        <w:t xml:space="preserve">I communicate with </w:t>
      </w:r>
      <w:r w:rsidR="00D0685C" w:rsidRPr="006F4CC7">
        <w:rPr>
          <w:rFonts w:eastAsia="Calibri"/>
          <w:sz w:val="20"/>
          <w:szCs w:val="20"/>
        </w:rPr>
        <w:t xml:space="preserve">the audit committee </w:t>
      </w:r>
      <w:r w:rsidRPr="006F4CC7">
        <w:rPr>
          <w:rFonts w:eastAsia="Calibri"/>
          <w:sz w:val="20"/>
          <w:szCs w:val="20"/>
        </w:rPr>
        <w:t xml:space="preserve">regarding, among other matters, the planned scope and timing </w:t>
      </w:r>
      <w:r w:rsidRPr="006F4CC7">
        <w:rPr>
          <w:rFonts w:eastAsia="Calibri"/>
          <w:spacing w:val="-2"/>
          <w:sz w:val="20"/>
          <w:szCs w:val="20"/>
        </w:rPr>
        <w:t xml:space="preserve">of the audit and significant audit findings, including any significant deficiencies in internal control </w:t>
      </w:r>
      <w:r w:rsidR="00573D4F" w:rsidRPr="006F4CC7">
        <w:rPr>
          <w:rFonts w:eastAsia="Calibri"/>
          <w:spacing w:val="-2"/>
          <w:sz w:val="20"/>
          <w:szCs w:val="20"/>
        </w:rPr>
        <w:t>that</w:t>
      </w:r>
      <w:r w:rsidR="005F2E64" w:rsidRPr="006F4CC7">
        <w:rPr>
          <w:rFonts w:eastAsia="Calibri"/>
          <w:spacing w:val="-2"/>
          <w:sz w:val="20"/>
          <w:szCs w:val="20"/>
        </w:rPr>
        <w:t xml:space="preserve"> </w:t>
      </w:r>
      <w:r w:rsidRPr="006F4CC7">
        <w:rPr>
          <w:rFonts w:eastAsia="Calibri"/>
          <w:spacing w:val="-2"/>
          <w:sz w:val="20"/>
          <w:szCs w:val="20"/>
        </w:rPr>
        <w:t>I identif</w:t>
      </w:r>
      <w:r w:rsidRPr="006F4CC7">
        <w:rPr>
          <w:rFonts w:eastAsia="Calibri"/>
          <w:sz w:val="20"/>
          <w:szCs w:val="20"/>
        </w:rPr>
        <w:t xml:space="preserve">y during my audit. </w:t>
      </w:r>
    </w:p>
    <w:p w14:paraId="76AF7F4E" w14:textId="77777777" w:rsidR="00B91979" w:rsidRPr="006F4CC7" w:rsidRDefault="00B91979" w:rsidP="006F12F1">
      <w:pPr>
        <w:pStyle w:val="Default"/>
        <w:jc w:val="thaiDistribute"/>
        <w:rPr>
          <w:sz w:val="20"/>
          <w:szCs w:val="20"/>
        </w:rPr>
      </w:pPr>
    </w:p>
    <w:p w14:paraId="45B3DCC1" w14:textId="77777777" w:rsidR="00B91979" w:rsidRPr="006F4CC7" w:rsidRDefault="00B91979" w:rsidP="006F12F1">
      <w:pPr>
        <w:pStyle w:val="Default"/>
        <w:jc w:val="thaiDistribute"/>
        <w:rPr>
          <w:rFonts w:eastAsia="Calibri"/>
          <w:sz w:val="20"/>
          <w:szCs w:val="20"/>
        </w:rPr>
      </w:pPr>
      <w:r w:rsidRPr="006F4CC7">
        <w:rPr>
          <w:rFonts w:eastAsia="Calibri"/>
          <w:sz w:val="20"/>
          <w:szCs w:val="20"/>
        </w:rPr>
        <w:t xml:space="preserve">I also provide </w:t>
      </w:r>
      <w:r w:rsidR="00D0685C" w:rsidRPr="006F4CC7">
        <w:rPr>
          <w:rFonts w:eastAsia="Calibri"/>
          <w:sz w:val="20"/>
          <w:szCs w:val="20"/>
        </w:rPr>
        <w:t xml:space="preserve">the audit committee </w:t>
      </w:r>
      <w:r w:rsidRPr="006F4CC7">
        <w:rPr>
          <w:rFonts w:eastAsia="Calibri"/>
          <w:sz w:val="20"/>
          <w:szCs w:val="20"/>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2028B70D" w14:textId="77777777" w:rsidR="00B91979" w:rsidRPr="006F4CC7" w:rsidRDefault="00B91979" w:rsidP="006F12F1">
      <w:pPr>
        <w:pStyle w:val="Default"/>
        <w:jc w:val="thaiDistribute"/>
        <w:rPr>
          <w:sz w:val="20"/>
          <w:szCs w:val="20"/>
        </w:rPr>
      </w:pPr>
    </w:p>
    <w:p w14:paraId="55032684" w14:textId="77777777" w:rsidR="00B91979" w:rsidRPr="006F4CC7" w:rsidRDefault="00B91979" w:rsidP="006F12F1">
      <w:pPr>
        <w:pStyle w:val="Default"/>
        <w:jc w:val="thaiDistribute"/>
        <w:rPr>
          <w:sz w:val="20"/>
          <w:szCs w:val="20"/>
        </w:rPr>
      </w:pPr>
      <w:r w:rsidRPr="006F4CC7">
        <w:rPr>
          <w:sz w:val="20"/>
          <w:szCs w:val="20"/>
        </w:rPr>
        <w:t xml:space="preserve">From the matters communicated with </w:t>
      </w:r>
      <w:r w:rsidR="00D0685C" w:rsidRPr="006F4CC7">
        <w:rPr>
          <w:sz w:val="20"/>
          <w:szCs w:val="20"/>
        </w:rPr>
        <w:t>the audit committee</w:t>
      </w:r>
      <w:r w:rsidRPr="006F4CC7">
        <w:rPr>
          <w:sz w:val="20"/>
          <w:szCs w:val="20"/>
        </w:rPr>
        <w:t xml:space="preserve">, I determine those matters that were of most significance in the audit of the </w:t>
      </w:r>
      <w:r w:rsidR="00900250" w:rsidRPr="006F4CC7">
        <w:rPr>
          <w:sz w:val="20"/>
          <w:szCs w:val="20"/>
        </w:rPr>
        <w:t xml:space="preserve">consolidated </w:t>
      </w:r>
      <w:r w:rsidR="00FA786D" w:rsidRPr="006F4CC7">
        <w:rPr>
          <w:sz w:val="20"/>
          <w:szCs w:val="20"/>
        </w:rPr>
        <w:t xml:space="preserve">and separate </w:t>
      </w:r>
      <w:r w:rsidRPr="006F4CC7">
        <w:rPr>
          <w:sz w:val="20"/>
          <w:szCs w:val="20"/>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74E98A04" w14:textId="77777777" w:rsidR="007C771E" w:rsidRPr="006F4CC7" w:rsidRDefault="007C771E" w:rsidP="006F12F1">
      <w:pPr>
        <w:pStyle w:val="Default"/>
        <w:jc w:val="thaiDistribute"/>
        <w:rPr>
          <w:sz w:val="20"/>
          <w:szCs w:val="20"/>
        </w:rPr>
      </w:pPr>
    </w:p>
    <w:p w14:paraId="0A5B0132" w14:textId="77777777" w:rsidR="004637BA" w:rsidRPr="006F4CC7" w:rsidRDefault="004637BA">
      <w:pPr>
        <w:suppressAutoHyphens/>
        <w:spacing w:after="0" w:line="240" w:lineRule="auto"/>
        <w:rPr>
          <w:rFonts w:ascii="Arial" w:hAnsi="Arial" w:cs="Arial"/>
          <w:color w:val="000000"/>
          <w:sz w:val="20"/>
          <w:szCs w:val="20"/>
          <w:lang w:val="en-US"/>
        </w:rPr>
      </w:pPr>
    </w:p>
    <w:p w14:paraId="60499921" w14:textId="77777777" w:rsidR="00D0685C" w:rsidRPr="006F4CC7" w:rsidRDefault="00D0685C">
      <w:pPr>
        <w:suppressAutoHyphens/>
        <w:spacing w:after="0" w:line="240" w:lineRule="auto"/>
        <w:rPr>
          <w:rFonts w:ascii="Arial" w:hAnsi="Arial" w:cs="Arial"/>
          <w:color w:val="000000"/>
          <w:sz w:val="20"/>
          <w:szCs w:val="20"/>
          <w:lang w:val="en-US"/>
        </w:rPr>
      </w:pPr>
      <w:r w:rsidRPr="006F4CC7">
        <w:rPr>
          <w:rFonts w:ascii="Arial" w:hAnsi="Arial" w:cs="Arial"/>
          <w:color w:val="000000"/>
          <w:sz w:val="20"/>
          <w:szCs w:val="20"/>
          <w:lang w:val="en-US"/>
        </w:rPr>
        <w:t>PricewaterhouseCoopers ABAS Ltd.</w:t>
      </w:r>
    </w:p>
    <w:p w14:paraId="02846926" w14:textId="77777777" w:rsidR="008D64B8" w:rsidRPr="006F4CC7" w:rsidRDefault="008D64B8">
      <w:pPr>
        <w:pStyle w:val="Default"/>
        <w:rPr>
          <w:sz w:val="20"/>
          <w:szCs w:val="20"/>
        </w:rPr>
      </w:pPr>
    </w:p>
    <w:p w14:paraId="2CC28855" w14:textId="77777777" w:rsidR="000D55B0" w:rsidRPr="006F4CC7" w:rsidRDefault="000D55B0">
      <w:pPr>
        <w:suppressAutoHyphens/>
        <w:spacing w:after="0" w:line="240" w:lineRule="auto"/>
        <w:rPr>
          <w:rFonts w:ascii="Arial" w:hAnsi="Arial" w:cs="Arial"/>
          <w:color w:val="000000"/>
          <w:sz w:val="20"/>
          <w:szCs w:val="20"/>
        </w:rPr>
      </w:pPr>
    </w:p>
    <w:p w14:paraId="3DF50131" w14:textId="77777777" w:rsidR="003D3D27" w:rsidRPr="006F4CC7" w:rsidRDefault="003D3D27">
      <w:pPr>
        <w:suppressAutoHyphens/>
        <w:spacing w:after="0" w:line="240" w:lineRule="auto"/>
        <w:rPr>
          <w:rFonts w:ascii="Arial" w:hAnsi="Arial" w:cs="Arial"/>
          <w:color w:val="000000"/>
          <w:sz w:val="20"/>
          <w:szCs w:val="20"/>
        </w:rPr>
      </w:pPr>
    </w:p>
    <w:p w14:paraId="390C8208" w14:textId="77777777" w:rsidR="003B1B7C" w:rsidRPr="006F4CC7" w:rsidRDefault="003B1B7C">
      <w:pPr>
        <w:suppressAutoHyphens/>
        <w:spacing w:after="0" w:line="240" w:lineRule="auto"/>
        <w:rPr>
          <w:rFonts w:ascii="Arial" w:hAnsi="Arial" w:cs="Arial"/>
          <w:color w:val="000000"/>
          <w:sz w:val="20"/>
          <w:szCs w:val="20"/>
        </w:rPr>
      </w:pPr>
    </w:p>
    <w:p w14:paraId="2FE54865" w14:textId="77777777" w:rsidR="003D3D27" w:rsidRPr="006F4CC7" w:rsidRDefault="003D3D27">
      <w:pPr>
        <w:suppressAutoHyphens/>
        <w:spacing w:after="0" w:line="240" w:lineRule="auto"/>
        <w:rPr>
          <w:rFonts w:ascii="Arial" w:hAnsi="Arial" w:cs="Arial"/>
          <w:color w:val="000000"/>
          <w:sz w:val="20"/>
          <w:szCs w:val="20"/>
        </w:rPr>
      </w:pPr>
    </w:p>
    <w:p w14:paraId="0A171C38" w14:textId="77777777" w:rsidR="003D3D27" w:rsidRPr="006F4CC7" w:rsidRDefault="003D3D27">
      <w:pPr>
        <w:suppressAutoHyphens/>
        <w:spacing w:after="0" w:line="240" w:lineRule="auto"/>
        <w:rPr>
          <w:rFonts w:ascii="Arial" w:hAnsi="Arial" w:cs="Arial"/>
          <w:color w:val="000000"/>
          <w:sz w:val="20"/>
          <w:szCs w:val="20"/>
        </w:rPr>
      </w:pPr>
    </w:p>
    <w:p w14:paraId="33A2356F" w14:textId="77777777" w:rsidR="003D3D27" w:rsidRPr="006F4CC7" w:rsidRDefault="003D3D27">
      <w:pPr>
        <w:suppressAutoHyphens/>
        <w:spacing w:after="0" w:line="240" w:lineRule="auto"/>
        <w:rPr>
          <w:rFonts w:ascii="Arial" w:hAnsi="Arial" w:cs="Arial"/>
          <w:color w:val="000000"/>
          <w:sz w:val="20"/>
          <w:szCs w:val="20"/>
        </w:rPr>
      </w:pPr>
    </w:p>
    <w:p w14:paraId="6C42B617" w14:textId="77777777" w:rsidR="00B53BF7" w:rsidRPr="006F4CC7" w:rsidRDefault="00B53BF7" w:rsidP="00B53BF7">
      <w:pPr>
        <w:suppressAutoHyphens/>
        <w:spacing w:after="0" w:line="240" w:lineRule="auto"/>
        <w:rPr>
          <w:rFonts w:ascii="Arial" w:hAnsi="Arial" w:cs="Arial"/>
          <w:b/>
          <w:bCs/>
          <w:color w:val="000000"/>
          <w:sz w:val="20"/>
          <w:szCs w:val="20"/>
        </w:rPr>
      </w:pPr>
      <w:proofErr w:type="spellStart"/>
      <w:r w:rsidRPr="006F4CC7">
        <w:rPr>
          <w:rFonts w:ascii="Arial" w:hAnsi="Arial" w:cs="Arial"/>
          <w:b/>
          <w:bCs/>
          <w:color w:val="000000"/>
          <w:sz w:val="20"/>
          <w:szCs w:val="20"/>
        </w:rPr>
        <w:t>Varaporn</w:t>
      </w:r>
      <w:proofErr w:type="spellEnd"/>
      <w:r w:rsidRPr="006F4CC7">
        <w:rPr>
          <w:rFonts w:ascii="Arial" w:hAnsi="Arial" w:cs="Arial"/>
          <w:b/>
          <w:bCs/>
          <w:color w:val="000000"/>
          <w:sz w:val="20"/>
          <w:szCs w:val="20"/>
        </w:rPr>
        <w:t xml:space="preserve"> </w:t>
      </w:r>
      <w:proofErr w:type="spellStart"/>
      <w:r w:rsidRPr="006F4CC7">
        <w:rPr>
          <w:rFonts w:ascii="Arial" w:hAnsi="Arial" w:cs="Arial"/>
          <w:b/>
          <w:bCs/>
          <w:color w:val="000000"/>
          <w:sz w:val="20"/>
          <w:szCs w:val="20"/>
        </w:rPr>
        <w:t>Vorathitikul</w:t>
      </w:r>
      <w:proofErr w:type="spellEnd"/>
    </w:p>
    <w:p w14:paraId="565072BC" w14:textId="77777777" w:rsidR="00B53BF7" w:rsidRPr="006F4CC7" w:rsidRDefault="00B53BF7" w:rsidP="00B53BF7">
      <w:pPr>
        <w:suppressAutoHyphens/>
        <w:spacing w:after="0" w:line="240" w:lineRule="auto"/>
        <w:rPr>
          <w:rFonts w:ascii="Arial" w:hAnsi="Arial" w:cs="Arial"/>
          <w:color w:val="000000"/>
          <w:sz w:val="20"/>
          <w:szCs w:val="20"/>
        </w:rPr>
      </w:pPr>
      <w:r w:rsidRPr="006F4CC7">
        <w:rPr>
          <w:rFonts w:ascii="Arial" w:hAnsi="Arial" w:cs="Arial"/>
          <w:color w:val="000000"/>
          <w:sz w:val="20"/>
          <w:szCs w:val="20"/>
        </w:rPr>
        <w:t>Certified Public Accountant (Thailand) No. 4474</w:t>
      </w:r>
    </w:p>
    <w:p w14:paraId="622E77D8" w14:textId="77777777" w:rsidR="004637BA" w:rsidRPr="006F4CC7" w:rsidRDefault="004637BA" w:rsidP="004637BA">
      <w:pPr>
        <w:suppressAutoHyphens/>
        <w:spacing w:after="0" w:line="240" w:lineRule="auto"/>
        <w:rPr>
          <w:rFonts w:ascii="Arial" w:hAnsi="Arial" w:cs="Arial"/>
          <w:color w:val="000000"/>
          <w:sz w:val="20"/>
          <w:szCs w:val="20"/>
          <w:lang w:val="en-US"/>
        </w:rPr>
      </w:pPr>
      <w:r w:rsidRPr="006F4CC7">
        <w:rPr>
          <w:rFonts w:ascii="Arial" w:hAnsi="Arial" w:cs="Arial"/>
          <w:color w:val="000000"/>
          <w:sz w:val="20"/>
          <w:szCs w:val="20"/>
          <w:lang w:val="en-US"/>
        </w:rPr>
        <w:t>Bangkok</w:t>
      </w:r>
    </w:p>
    <w:p w14:paraId="22EDFF96" w14:textId="475D53CF" w:rsidR="00D737D2" w:rsidRPr="006F4CC7" w:rsidRDefault="00DE4561" w:rsidP="00DD700A">
      <w:pPr>
        <w:suppressAutoHyphens/>
        <w:spacing w:after="0" w:line="240" w:lineRule="auto"/>
        <w:rPr>
          <w:rFonts w:ascii="Arial" w:hAnsi="Arial" w:cs="Arial"/>
          <w:b/>
          <w:bCs/>
          <w:color w:val="000000"/>
          <w:szCs w:val="22"/>
        </w:rPr>
      </w:pPr>
      <w:r>
        <w:rPr>
          <w:rFonts w:ascii="Arial" w:hAnsi="Arial" w:cs="Arial"/>
          <w:color w:val="000000"/>
          <w:sz w:val="20"/>
          <w:szCs w:val="20"/>
          <w:lang w:val="en-US"/>
        </w:rPr>
        <w:t>2 March</w:t>
      </w:r>
      <w:r w:rsidR="004637BA" w:rsidRPr="006F4CC7">
        <w:rPr>
          <w:rFonts w:ascii="Arial" w:hAnsi="Arial" w:cs="Arial"/>
          <w:color w:val="000000"/>
          <w:sz w:val="20"/>
          <w:szCs w:val="20"/>
          <w:lang w:val="en-US"/>
        </w:rPr>
        <w:t xml:space="preserve"> 202</w:t>
      </w:r>
      <w:r w:rsidR="00B53BF7" w:rsidRPr="006F4CC7">
        <w:rPr>
          <w:rFonts w:ascii="Arial" w:hAnsi="Arial" w:cs="Arial"/>
          <w:color w:val="000000"/>
          <w:sz w:val="20"/>
          <w:szCs w:val="20"/>
          <w:lang w:val="en-US"/>
        </w:rPr>
        <w:t>5</w:t>
      </w:r>
    </w:p>
    <w:sectPr w:rsidR="00D737D2" w:rsidRPr="006F4CC7" w:rsidSect="00DD700A">
      <w:pgSz w:w="11909" w:h="16834" w:code="9"/>
      <w:pgMar w:top="2880" w:right="720" w:bottom="720"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EB5DC" w14:textId="77777777" w:rsidR="0029327F" w:rsidRDefault="0029327F" w:rsidP="001D338E">
      <w:pPr>
        <w:spacing w:after="0" w:line="240" w:lineRule="auto"/>
      </w:pPr>
      <w:r>
        <w:separator/>
      </w:r>
    </w:p>
  </w:endnote>
  <w:endnote w:type="continuationSeparator" w:id="0">
    <w:p w14:paraId="62EDE4DD" w14:textId="77777777" w:rsidR="0029327F" w:rsidRDefault="0029327F"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7B35E" w14:textId="77777777" w:rsidR="0029327F" w:rsidRDefault="0029327F" w:rsidP="001D338E">
      <w:pPr>
        <w:spacing w:after="0" w:line="240" w:lineRule="auto"/>
      </w:pPr>
      <w:r>
        <w:separator/>
      </w:r>
    </w:p>
  </w:footnote>
  <w:footnote w:type="continuationSeparator" w:id="0">
    <w:p w14:paraId="0EC23296" w14:textId="77777777" w:rsidR="0029327F" w:rsidRDefault="0029327F"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7D2A6"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40268"/>
    <w:multiLevelType w:val="hybridMultilevel"/>
    <w:tmpl w:val="6180D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16413A"/>
    <w:multiLevelType w:val="hybridMultilevel"/>
    <w:tmpl w:val="FEFCD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89345E3"/>
    <w:multiLevelType w:val="hybridMultilevel"/>
    <w:tmpl w:val="B50E8F26"/>
    <w:lvl w:ilvl="0" w:tplc="20B6272A">
      <w:start w:val="1"/>
      <w:numFmt w:val="bullet"/>
      <w:lvlText w:val=""/>
      <w:lvlJc w:val="left"/>
      <w:pPr>
        <w:tabs>
          <w:tab w:val="num" w:pos="720"/>
        </w:tabs>
        <w:ind w:left="720" w:hanging="360"/>
      </w:pPr>
      <w:rPr>
        <w:rFonts w:ascii="Symbol" w:hAnsi="Symbol" w:hint="default"/>
        <w:color w:val="000000" w:themeColor="text1"/>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54362B0"/>
    <w:multiLevelType w:val="hybridMultilevel"/>
    <w:tmpl w:val="5F268AE2"/>
    <w:lvl w:ilvl="0" w:tplc="08090001">
      <w:start w:val="1"/>
      <w:numFmt w:val="bullet"/>
      <w:lvlText w:val=""/>
      <w:lvlJc w:val="left"/>
      <w:pPr>
        <w:ind w:left="0" w:hanging="360"/>
      </w:pPr>
      <w:rPr>
        <w:rFonts w:ascii="Symbol" w:hAnsi="Symbol" w:hint="default"/>
        <w:color w:val="auto"/>
        <w:sz w:val="18"/>
        <w:szCs w:val="18"/>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abstractNum w:abstractNumId="5"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55DE7DD4"/>
    <w:multiLevelType w:val="hybridMultilevel"/>
    <w:tmpl w:val="E272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B8261B8"/>
    <w:multiLevelType w:val="hybridMultilevel"/>
    <w:tmpl w:val="48C05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C004CE"/>
    <w:multiLevelType w:val="hybridMultilevel"/>
    <w:tmpl w:val="F5741B40"/>
    <w:lvl w:ilvl="0" w:tplc="BB4CD07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82946F6"/>
    <w:multiLevelType w:val="hybridMultilevel"/>
    <w:tmpl w:val="06E4D630"/>
    <w:lvl w:ilvl="0" w:tplc="723E3432">
      <w:start w:val="1"/>
      <w:numFmt w:val="bullet"/>
      <w:lvlText w:val=""/>
      <w:lvlJc w:val="left"/>
      <w:pPr>
        <w:ind w:left="450" w:hanging="360"/>
      </w:pPr>
      <w:rPr>
        <w:rFonts w:ascii="Symbol" w:hAnsi="Symbol" w:cs="Symbol" w:hint="default"/>
        <w:sz w:val="20"/>
        <w:szCs w:val="20"/>
      </w:rPr>
    </w:lvl>
    <w:lvl w:ilvl="1" w:tplc="08090003">
      <w:start w:val="1"/>
      <w:numFmt w:val="bullet"/>
      <w:lvlText w:val="o"/>
      <w:lvlJc w:val="left"/>
      <w:pPr>
        <w:ind w:left="1170" w:hanging="360"/>
      </w:pPr>
      <w:rPr>
        <w:rFonts w:ascii="Courier New" w:hAnsi="Courier New" w:cs="Courier New" w:hint="default"/>
      </w:rPr>
    </w:lvl>
    <w:lvl w:ilvl="2" w:tplc="08090005">
      <w:start w:val="1"/>
      <w:numFmt w:val="bullet"/>
      <w:lvlText w:val=""/>
      <w:lvlJc w:val="left"/>
      <w:pPr>
        <w:ind w:left="1890" w:hanging="360"/>
      </w:pPr>
      <w:rPr>
        <w:rFonts w:ascii="Wingdings" w:hAnsi="Wingdings" w:hint="default"/>
      </w:rPr>
    </w:lvl>
    <w:lvl w:ilvl="3" w:tplc="08090001">
      <w:start w:val="1"/>
      <w:numFmt w:val="bullet"/>
      <w:lvlText w:val=""/>
      <w:lvlJc w:val="left"/>
      <w:pPr>
        <w:ind w:left="2610" w:hanging="360"/>
      </w:pPr>
      <w:rPr>
        <w:rFonts w:ascii="Symbol" w:hAnsi="Symbol" w:hint="default"/>
      </w:rPr>
    </w:lvl>
    <w:lvl w:ilvl="4" w:tplc="08090003">
      <w:start w:val="1"/>
      <w:numFmt w:val="bullet"/>
      <w:lvlText w:val="o"/>
      <w:lvlJc w:val="left"/>
      <w:pPr>
        <w:ind w:left="3330" w:hanging="360"/>
      </w:pPr>
      <w:rPr>
        <w:rFonts w:ascii="Courier New" w:hAnsi="Courier New" w:cs="Courier New" w:hint="default"/>
      </w:rPr>
    </w:lvl>
    <w:lvl w:ilvl="5" w:tplc="08090005">
      <w:start w:val="1"/>
      <w:numFmt w:val="bullet"/>
      <w:lvlText w:val=""/>
      <w:lvlJc w:val="left"/>
      <w:pPr>
        <w:ind w:left="4050" w:hanging="360"/>
      </w:pPr>
      <w:rPr>
        <w:rFonts w:ascii="Wingdings" w:hAnsi="Wingdings" w:hint="default"/>
      </w:rPr>
    </w:lvl>
    <w:lvl w:ilvl="6" w:tplc="08090001">
      <w:start w:val="1"/>
      <w:numFmt w:val="bullet"/>
      <w:lvlText w:val=""/>
      <w:lvlJc w:val="left"/>
      <w:pPr>
        <w:ind w:left="4770" w:hanging="360"/>
      </w:pPr>
      <w:rPr>
        <w:rFonts w:ascii="Symbol" w:hAnsi="Symbol" w:hint="default"/>
      </w:rPr>
    </w:lvl>
    <w:lvl w:ilvl="7" w:tplc="08090003">
      <w:start w:val="1"/>
      <w:numFmt w:val="bullet"/>
      <w:lvlText w:val="o"/>
      <w:lvlJc w:val="left"/>
      <w:pPr>
        <w:ind w:left="5490" w:hanging="360"/>
      </w:pPr>
      <w:rPr>
        <w:rFonts w:ascii="Courier New" w:hAnsi="Courier New" w:cs="Courier New" w:hint="default"/>
      </w:rPr>
    </w:lvl>
    <w:lvl w:ilvl="8" w:tplc="08090005">
      <w:start w:val="1"/>
      <w:numFmt w:val="bullet"/>
      <w:lvlText w:val=""/>
      <w:lvlJc w:val="left"/>
      <w:pPr>
        <w:ind w:left="6210" w:hanging="360"/>
      </w:pPr>
      <w:rPr>
        <w:rFonts w:ascii="Wingdings" w:hAnsi="Wingdings" w:hint="default"/>
      </w:rPr>
    </w:lvl>
  </w:abstractNum>
  <w:abstractNum w:abstractNumId="11" w15:restartNumberingAfterBreak="0">
    <w:nsid w:val="6FA13697"/>
    <w:multiLevelType w:val="hybridMultilevel"/>
    <w:tmpl w:val="F53A48F4"/>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25724682">
    <w:abstractNumId w:val="2"/>
  </w:num>
  <w:num w:numId="2" w16cid:durableId="886910660">
    <w:abstractNumId w:val="9"/>
  </w:num>
  <w:num w:numId="3" w16cid:durableId="717701076">
    <w:abstractNumId w:val="5"/>
  </w:num>
  <w:num w:numId="4" w16cid:durableId="1489010131">
    <w:abstractNumId w:val="3"/>
  </w:num>
  <w:num w:numId="5" w16cid:durableId="1355885946">
    <w:abstractNumId w:val="8"/>
  </w:num>
  <w:num w:numId="6" w16cid:durableId="1423649835">
    <w:abstractNumId w:val="0"/>
  </w:num>
  <w:num w:numId="7" w16cid:durableId="1203978754">
    <w:abstractNumId w:val="6"/>
  </w:num>
  <w:num w:numId="8" w16cid:durableId="71496388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5999495">
    <w:abstractNumId w:val="7"/>
  </w:num>
  <w:num w:numId="10" w16cid:durableId="1967008997">
    <w:abstractNumId w:val="10"/>
  </w:num>
  <w:num w:numId="11" w16cid:durableId="534268649">
    <w:abstractNumId w:val="1"/>
  </w:num>
  <w:num w:numId="12" w16cid:durableId="1794009474">
    <w:abstractNumId w:val="7"/>
  </w:num>
  <w:num w:numId="13" w16cid:durableId="303706717">
    <w:abstractNumId w:val="6"/>
  </w:num>
  <w:num w:numId="14" w16cid:durableId="2077120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4C39"/>
    <w:rsid w:val="00014573"/>
    <w:rsid w:val="00017480"/>
    <w:rsid w:val="0002146C"/>
    <w:rsid w:val="000216EE"/>
    <w:rsid w:val="000255F8"/>
    <w:rsid w:val="00031939"/>
    <w:rsid w:val="000373DF"/>
    <w:rsid w:val="00037AEC"/>
    <w:rsid w:val="00040350"/>
    <w:rsid w:val="00040E1C"/>
    <w:rsid w:val="000475D0"/>
    <w:rsid w:val="0005402A"/>
    <w:rsid w:val="00071915"/>
    <w:rsid w:val="0007584A"/>
    <w:rsid w:val="000828A6"/>
    <w:rsid w:val="0009538D"/>
    <w:rsid w:val="000A16B3"/>
    <w:rsid w:val="000A3002"/>
    <w:rsid w:val="000A76A7"/>
    <w:rsid w:val="000B0BD9"/>
    <w:rsid w:val="000B3522"/>
    <w:rsid w:val="000B564A"/>
    <w:rsid w:val="000C048D"/>
    <w:rsid w:val="000C63FD"/>
    <w:rsid w:val="000C7A69"/>
    <w:rsid w:val="000C7A92"/>
    <w:rsid w:val="000D0D64"/>
    <w:rsid w:val="000D3728"/>
    <w:rsid w:val="000D38E3"/>
    <w:rsid w:val="000D3ADA"/>
    <w:rsid w:val="000D44E6"/>
    <w:rsid w:val="000D5166"/>
    <w:rsid w:val="000D55B0"/>
    <w:rsid w:val="000D73C6"/>
    <w:rsid w:val="000E62BA"/>
    <w:rsid w:val="000F45AB"/>
    <w:rsid w:val="0010064E"/>
    <w:rsid w:val="00116FA8"/>
    <w:rsid w:val="00125355"/>
    <w:rsid w:val="00134015"/>
    <w:rsid w:val="0014123B"/>
    <w:rsid w:val="001419A9"/>
    <w:rsid w:val="00144F70"/>
    <w:rsid w:val="00145626"/>
    <w:rsid w:val="0014788D"/>
    <w:rsid w:val="00150012"/>
    <w:rsid w:val="00150459"/>
    <w:rsid w:val="0015089F"/>
    <w:rsid w:val="00155524"/>
    <w:rsid w:val="00155A4E"/>
    <w:rsid w:val="0016116E"/>
    <w:rsid w:val="00162AD4"/>
    <w:rsid w:val="00166D61"/>
    <w:rsid w:val="001746F3"/>
    <w:rsid w:val="0018182E"/>
    <w:rsid w:val="00182304"/>
    <w:rsid w:val="0019499D"/>
    <w:rsid w:val="001A08ED"/>
    <w:rsid w:val="001A5CDE"/>
    <w:rsid w:val="001B03BA"/>
    <w:rsid w:val="001B24FA"/>
    <w:rsid w:val="001C0B41"/>
    <w:rsid w:val="001D338E"/>
    <w:rsid w:val="001D69A9"/>
    <w:rsid w:val="001E1B7A"/>
    <w:rsid w:val="001E42E1"/>
    <w:rsid w:val="001E5FFB"/>
    <w:rsid w:val="001E728B"/>
    <w:rsid w:val="001F506F"/>
    <w:rsid w:val="00200236"/>
    <w:rsid w:val="00200285"/>
    <w:rsid w:val="002111DB"/>
    <w:rsid w:val="00211E7E"/>
    <w:rsid w:val="00212260"/>
    <w:rsid w:val="002126C5"/>
    <w:rsid w:val="00217341"/>
    <w:rsid w:val="002207C2"/>
    <w:rsid w:val="00221242"/>
    <w:rsid w:val="00226E2C"/>
    <w:rsid w:val="00226F0C"/>
    <w:rsid w:val="00230115"/>
    <w:rsid w:val="002333F1"/>
    <w:rsid w:val="00237B69"/>
    <w:rsid w:val="00241783"/>
    <w:rsid w:val="002458EA"/>
    <w:rsid w:val="00256223"/>
    <w:rsid w:val="002605AD"/>
    <w:rsid w:val="002606BE"/>
    <w:rsid w:val="00261A09"/>
    <w:rsid w:val="00262A5D"/>
    <w:rsid w:val="00274A61"/>
    <w:rsid w:val="0027680D"/>
    <w:rsid w:val="0028711D"/>
    <w:rsid w:val="00290A85"/>
    <w:rsid w:val="00293140"/>
    <w:rsid w:val="0029327F"/>
    <w:rsid w:val="00294023"/>
    <w:rsid w:val="00296844"/>
    <w:rsid w:val="002A380F"/>
    <w:rsid w:val="002A60E9"/>
    <w:rsid w:val="002A7090"/>
    <w:rsid w:val="002C39BC"/>
    <w:rsid w:val="002C6202"/>
    <w:rsid w:val="002C6C16"/>
    <w:rsid w:val="002D0EEA"/>
    <w:rsid w:val="002D421F"/>
    <w:rsid w:val="002D54B5"/>
    <w:rsid w:val="002D5B1B"/>
    <w:rsid w:val="002D6A7B"/>
    <w:rsid w:val="002E158A"/>
    <w:rsid w:val="002E32DA"/>
    <w:rsid w:val="002F20BE"/>
    <w:rsid w:val="002F280C"/>
    <w:rsid w:val="002F5C09"/>
    <w:rsid w:val="003004B0"/>
    <w:rsid w:val="003078E1"/>
    <w:rsid w:val="00307DD0"/>
    <w:rsid w:val="00312E83"/>
    <w:rsid w:val="00316BEC"/>
    <w:rsid w:val="003253F6"/>
    <w:rsid w:val="00333F9B"/>
    <w:rsid w:val="00334918"/>
    <w:rsid w:val="0034029B"/>
    <w:rsid w:val="003473BA"/>
    <w:rsid w:val="00347B79"/>
    <w:rsid w:val="003577B8"/>
    <w:rsid w:val="00357D55"/>
    <w:rsid w:val="00361447"/>
    <w:rsid w:val="00362153"/>
    <w:rsid w:val="0037110F"/>
    <w:rsid w:val="00377A3A"/>
    <w:rsid w:val="00382E88"/>
    <w:rsid w:val="0038322C"/>
    <w:rsid w:val="00386395"/>
    <w:rsid w:val="003920D9"/>
    <w:rsid w:val="00394E18"/>
    <w:rsid w:val="00396FC9"/>
    <w:rsid w:val="003A3BF5"/>
    <w:rsid w:val="003A5889"/>
    <w:rsid w:val="003B1B7C"/>
    <w:rsid w:val="003B24F2"/>
    <w:rsid w:val="003D0D7C"/>
    <w:rsid w:val="003D310D"/>
    <w:rsid w:val="003D3D27"/>
    <w:rsid w:val="003D6EE3"/>
    <w:rsid w:val="003D7487"/>
    <w:rsid w:val="003D75FE"/>
    <w:rsid w:val="003E00FB"/>
    <w:rsid w:val="003E37AE"/>
    <w:rsid w:val="003E4322"/>
    <w:rsid w:val="003F06EF"/>
    <w:rsid w:val="003F125C"/>
    <w:rsid w:val="003F60CE"/>
    <w:rsid w:val="00400754"/>
    <w:rsid w:val="00405D47"/>
    <w:rsid w:val="00414571"/>
    <w:rsid w:val="00423A03"/>
    <w:rsid w:val="00423E70"/>
    <w:rsid w:val="00432DF2"/>
    <w:rsid w:val="00433A38"/>
    <w:rsid w:val="00435E21"/>
    <w:rsid w:val="00435E89"/>
    <w:rsid w:val="00447C1C"/>
    <w:rsid w:val="00462134"/>
    <w:rsid w:val="00463394"/>
    <w:rsid w:val="004637BA"/>
    <w:rsid w:val="00463F95"/>
    <w:rsid w:val="004647CA"/>
    <w:rsid w:val="00467167"/>
    <w:rsid w:val="0047232D"/>
    <w:rsid w:val="00487C46"/>
    <w:rsid w:val="0049535D"/>
    <w:rsid w:val="004A0C29"/>
    <w:rsid w:val="004A10B9"/>
    <w:rsid w:val="004B53A7"/>
    <w:rsid w:val="004D3041"/>
    <w:rsid w:val="004D4A73"/>
    <w:rsid w:val="004D4AC1"/>
    <w:rsid w:val="004D53F1"/>
    <w:rsid w:val="004E0135"/>
    <w:rsid w:val="004E31C0"/>
    <w:rsid w:val="004E3D8E"/>
    <w:rsid w:val="004E4430"/>
    <w:rsid w:val="004F3206"/>
    <w:rsid w:val="004F59ED"/>
    <w:rsid w:val="004F7F3C"/>
    <w:rsid w:val="00500BE9"/>
    <w:rsid w:val="00502230"/>
    <w:rsid w:val="005066F1"/>
    <w:rsid w:val="005151D8"/>
    <w:rsid w:val="0051721D"/>
    <w:rsid w:val="005205E4"/>
    <w:rsid w:val="005237A1"/>
    <w:rsid w:val="00533871"/>
    <w:rsid w:val="00534F4F"/>
    <w:rsid w:val="0053787E"/>
    <w:rsid w:val="005619F1"/>
    <w:rsid w:val="00572678"/>
    <w:rsid w:val="00573D4F"/>
    <w:rsid w:val="00574E4A"/>
    <w:rsid w:val="00577D90"/>
    <w:rsid w:val="00585890"/>
    <w:rsid w:val="0058709A"/>
    <w:rsid w:val="0059145D"/>
    <w:rsid w:val="00593579"/>
    <w:rsid w:val="005A426A"/>
    <w:rsid w:val="005B1E87"/>
    <w:rsid w:val="005B49D6"/>
    <w:rsid w:val="005B5577"/>
    <w:rsid w:val="005B559F"/>
    <w:rsid w:val="005B59E2"/>
    <w:rsid w:val="005C2AAE"/>
    <w:rsid w:val="005C6871"/>
    <w:rsid w:val="005C6C6D"/>
    <w:rsid w:val="005C6E21"/>
    <w:rsid w:val="005D072C"/>
    <w:rsid w:val="005D70F6"/>
    <w:rsid w:val="005E1837"/>
    <w:rsid w:val="005E3352"/>
    <w:rsid w:val="005E3E6C"/>
    <w:rsid w:val="005F0AD6"/>
    <w:rsid w:val="005F133E"/>
    <w:rsid w:val="005F1C97"/>
    <w:rsid w:val="005F2AA9"/>
    <w:rsid w:val="005F2E64"/>
    <w:rsid w:val="005F5213"/>
    <w:rsid w:val="006012F4"/>
    <w:rsid w:val="00607710"/>
    <w:rsid w:val="00610C47"/>
    <w:rsid w:val="00620568"/>
    <w:rsid w:val="006250CE"/>
    <w:rsid w:val="00633068"/>
    <w:rsid w:val="00633A8B"/>
    <w:rsid w:val="0064199D"/>
    <w:rsid w:val="006433B9"/>
    <w:rsid w:val="00645F99"/>
    <w:rsid w:val="0065242C"/>
    <w:rsid w:val="00653860"/>
    <w:rsid w:val="00654C2B"/>
    <w:rsid w:val="00654F92"/>
    <w:rsid w:val="0065571D"/>
    <w:rsid w:val="00657C5C"/>
    <w:rsid w:val="00657FBC"/>
    <w:rsid w:val="006651E7"/>
    <w:rsid w:val="006669E1"/>
    <w:rsid w:val="00674245"/>
    <w:rsid w:val="006771A0"/>
    <w:rsid w:val="006810EB"/>
    <w:rsid w:val="00681B5B"/>
    <w:rsid w:val="00684854"/>
    <w:rsid w:val="0068486E"/>
    <w:rsid w:val="00684C98"/>
    <w:rsid w:val="00686D35"/>
    <w:rsid w:val="0069164B"/>
    <w:rsid w:val="00694F4F"/>
    <w:rsid w:val="006A1977"/>
    <w:rsid w:val="006A1BE2"/>
    <w:rsid w:val="006A354C"/>
    <w:rsid w:val="006A7EA9"/>
    <w:rsid w:val="006B091E"/>
    <w:rsid w:val="006B3BC7"/>
    <w:rsid w:val="006B6B38"/>
    <w:rsid w:val="006B6FCF"/>
    <w:rsid w:val="006B7048"/>
    <w:rsid w:val="006D49DB"/>
    <w:rsid w:val="006D798F"/>
    <w:rsid w:val="006E73A1"/>
    <w:rsid w:val="006F0131"/>
    <w:rsid w:val="006F12F1"/>
    <w:rsid w:val="006F356C"/>
    <w:rsid w:val="006F4CC7"/>
    <w:rsid w:val="00704BB9"/>
    <w:rsid w:val="00706469"/>
    <w:rsid w:val="00711EFC"/>
    <w:rsid w:val="007125D1"/>
    <w:rsid w:val="00723ADF"/>
    <w:rsid w:val="00726E9E"/>
    <w:rsid w:val="00740A38"/>
    <w:rsid w:val="0074210C"/>
    <w:rsid w:val="0074245B"/>
    <w:rsid w:val="0074526E"/>
    <w:rsid w:val="00747C86"/>
    <w:rsid w:val="00751C20"/>
    <w:rsid w:val="00753D44"/>
    <w:rsid w:val="00754B39"/>
    <w:rsid w:val="00756973"/>
    <w:rsid w:val="00762372"/>
    <w:rsid w:val="007647A2"/>
    <w:rsid w:val="007656E2"/>
    <w:rsid w:val="00770F30"/>
    <w:rsid w:val="00772075"/>
    <w:rsid w:val="007760AE"/>
    <w:rsid w:val="00781D98"/>
    <w:rsid w:val="007826A0"/>
    <w:rsid w:val="00790517"/>
    <w:rsid w:val="00797D0D"/>
    <w:rsid w:val="007A3ACC"/>
    <w:rsid w:val="007A49CB"/>
    <w:rsid w:val="007A707A"/>
    <w:rsid w:val="007B1C92"/>
    <w:rsid w:val="007B209C"/>
    <w:rsid w:val="007B5770"/>
    <w:rsid w:val="007B59B0"/>
    <w:rsid w:val="007B63C5"/>
    <w:rsid w:val="007B7984"/>
    <w:rsid w:val="007C2AE3"/>
    <w:rsid w:val="007C3B9A"/>
    <w:rsid w:val="007C567C"/>
    <w:rsid w:val="007C71FB"/>
    <w:rsid w:val="007C771E"/>
    <w:rsid w:val="007E3FDB"/>
    <w:rsid w:val="007F38B9"/>
    <w:rsid w:val="007F44A2"/>
    <w:rsid w:val="0080386E"/>
    <w:rsid w:val="0081787D"/>
    <w:rsid w:val="00833543"/>
    <w:rsid w:val="00834FD1"/>
    <w:rsid w:val="0083580C"/>
    <w:rsid w:val="00846407"/>
    <w:rsid w:val="008533AD"/>
    <w:rsid w:val="00857E2A"/>
    <w:rsid w:val="008640AC"/>
    <w:rsid w:val="00867C5E"/>
    <w:rsid w:val="008744B7"/>
    <w:rsid w:val="00880D4B"/>
    <w:rsid w:val="00883F55"/>
    <w:rsid w:val="00886FDA"/>
    <w:rsid w:val="00896251"/>
    <w:rsid w:val="008A3D97"/>
    <w:rsid w:val="008A4CEA"/>
    <w:rsid w:val="008A5CF4"/>
    <w:rsid w:val="008A7FC7"/>
    <w:rsid w:val="008B3C72"/>
    <w:rsid w:val="008B4D41"/>
    <w:rsid w:val="008B53A0"/>
    <w:rsid w:val="008C013F"/>
    <w:rsid w:val="008D0003"/>
    <w:rsid w:val="008D64B8"/>
    <w:rsid w:val="008E0FC2"/>
    <w:rsid w:val="008F2EB2"/>
    <w:rsid w:val="00900250"/>
    <w:rsid w:val="009009AE"/>
    <w:rsid w:val="00902AFF"/>
    <w:rsid w:val="00906B28"/>
    <w:rsid w:val="009113FD"/>
    <w:rsid w:val="009149A4"/>
    <w:rsid w:val="009179AD"/>
    <w:rsid w:val="00920CF9"/>
    <w:rsid w:val="00921F3C"/>
    <w:rsid w:val="00922275"/>
    <w:rsid w:val="00922BB9"/>
    <w:rsid w:val="00932D00"/>
    <w:rsid w:val="00934743"/>
    <w:rsid w:val="009366A1"/>
    <w:rsid w:val="00951558"/>
    <w:rsid w:val="00953A0E"/>
    <w:rsid w:val="0096025D"/>
    <w:rsid w:val="00966352"/>
    <w:rsid w:val="009718D3"/>
    <w:rsid w:val="00971937"/>
    <w:rsid w:val="00973FC9"/>
    <w:rsid w:val="00983817"/>
    <w:rsid w:val="00995360"/>
    <w:rsid w:val="009A3535"/>
    <w:rsid w:val="009A4536"/>
    <w:rsid w:val="009B538A"/>
    <w:rsid w:val="009C0968"/>
    <w:rsid w:val="009C1CB1"/>
    <w:rsid w:val="009C2BB4"/>
    <w:rsid w:val="009C6682"/>
    <w:rsid w:val="009D6C4B"/>
    <w:rsid w:val="009E2CB0"/>
    <w:rsid w:val="009E60E7"/>
    <w:rsid w:val="009E67FA"/>
    <w:rsid w:val="009E79E4"/>
    <w:rsid w:val="009F1110"/>
    <w:rsid w:val="009F5A7B"/>
    <w:rsid w:val="009F69C4"/>
    <w:rsid w:val="009F7153"/>
    <w:rsid w:val="00A00386"/>
    <w:rsid w:val="00A00FBE"/>
    <w:rsid w:val="00A019FF"/>
    <w:rsid w:val="00A03C58"/>
    <w:rsid w:val="00A04D15"/>
    <w:rsid w:val="00A1262B"/>
    <w:rsid w:val="00A126D0"/>
    <w:rsid w:val="00A15C24"/>
    <w:rsid w:val="00A17EC3"/>
    <w:rsid w:val="00A2463D"/>
    <w:rsid w:val="00A24DA0"/>
    <w:rsid w:val="00A30BCE"/>
    <w:rsid w:val="00A31007"/>
    <w:rsid w:val="00A3516C"/>
    <w:rsid w:val="00A366AC"/>
    <w:rsid w:val="00A3737F"/>
    <w:rsid w:val="00A413EB"/>
    <w:rsid w:val="00A41912"/>
    <w:rsid w:val="00A51864"/>
    <w:rsid w:val="00A51B4C"/>
    <w:rsid w:val="00A51D13"/>
    <w:rsid w:val="00A53A2E"/>
    <w:rsid w:val="00A561F4"/>
    <w:rsid w:val="00A60355"/>
    <w:rsid w:val="00A61058"/>
    <w:rsid w:val="00A62FD6"/>
    <w:rsid w:val="00A6365F"/>
    <w:rsid w:val="00A71598"/>
    <w:rsid w:val="00A739B0"/>
    <w:rsid w:val="00A77BCD"/>
    <w:rsid w:val="00A8792C"/>
    <w:rsid w:val="00A93342"/>
    <w:rsid w:val="00AB0187"/>
    <w:rsid w:val="00AB07B7"/>
    <w:rsid w:val="00AB0AA4"/>
    <w:rsid w:val="00AB11E4"/>
    <w:rsid w:val="00AB1C12"/>
    <w:rsid w:val="00AB4B71"/>
    <w:rsid w:val="00AB7981"/>
    <w:rsid w:val="00AC038F"/>
    <w:rsid w:val="00AC1524"/>
    <w:rsid w:val="00AC221F"/>
    <w:rsid w:val="00AC4845"/>
    <w:rsid w:val="00AD2313"/>
    <w:rsid w:val="00AD2AFF"/>
    <w:rsid w:val="00AD478A"/>
    <w:rsid w:val="00AE05DA"/>
    <w:rsid w:val="00AE0FC0"/>
    <w:rsid w:val="00AE4390"/>
    <w:rsid w:val="00AF3674"/>
    <w:rsid w:val="00AF59B5"/>
    <w:rsid w:val="00AF639B"/>
    <w:rsid w:val="00AF7479"/>
    <w:rsid w:val="00B039F7"/>
    <w:rsid w:val="00B048D6"/>
    <w:rsid w:val="00B05522"/>
    <w:rsid w:val="00B10E05"/>
    <w:rsid w:val="00B13584"/>
    <w:rsid w:val="00B1573F"/>
    <w:rsid w:val="00B253AB"/>
    <w:rsid w:val="00B274AC"/>
    <w:rsid w:val="00B41448"/>
    <w:rsid w:val="00B41E8B"/>
    <w:rsid w:val="00B4370F"/>
    <w:rsid w:val="00B537F6"/>
    <w:rsid w:val="00B53BF7"/>
    <w:rsid w:val="00B629B5"/>
    <w:rsid w:val="00B63803"/>
    <w:rsid w:val="00B8292A"/>
    <w:rsid w:val="00B8317B"/>
    <w:rsid w:val="00B8647F"/>
    <w:rsid w:val="00B86913"/>
    <w:rsid w:val="00B91979"/>
    <w:rsid w:val="00B93D42"/>
    <w:rsid w:val="00BB01CE"/>
    <w:rsid w:val="00BB03CB"/>
    <w:rsid w:val="00BB3DED"/>
    <w:rsid w:val="00BB4566"/>
    <w:rsid w:val="00BC5F8C"/>
    <w:rsid w:val="00BC5FF1"/>
    <w:rsid w:val="00BD0082"/>
    <w:rsid w:val="00BD5F56"/>
    <w:rsid w:val="00BD5FF4"/>
    <w:rsid w:val="00BD7D85"/>
    <w:rsid w:val="00BD7FC5"/>
    <w:rsid w:val="00BE33AE"/>
    <w:rsid w:val="00BF4028"/>
    <w:rsid w:val="00BF408C"/>
    <w:rsid w:val="00BF46F1"/>
    <w:rsid w:val="00BF6E31"/>
    <w:rsid w:val="00C033B1"/>
    <w:rsid w:val="00C04133"/>
    <w:rsid w:val="00C0435A"/>
    <w:rsid w:val="00C06AA2"/>
    <w:rsid w:val="00C10F4E"/>
    <w:rsid w:val="00C16805"/>
    <w:rsid w:val="00C17413"/>
    <w:rsid w:val="00C24F0C"/>
    <w:rsid w:val="00C359CD"/>
    <w:rsid w:val="00C43695"/>
    <w:rsid w:val="00C46DA4"/>
    <w:rsid w:val="00C5035E"/>
    <w:rsid w:val="00C50482"/>
    <w:rsid w:val="00C50BEA"/>
    <w:rsid w:val="00C515E6"/>
    <w:rsid w:val="00C5189F"/>
    <w:rsid w:val="00C52AB1"/>
    <w:rsid w:val="00C538F3"/>
    <w:rsid w:val="00C5668C"/>
    <w:rsid w:val="00C64EB8"/>
    <w:rsid w:val="00C76825"/>
    <w:rsid w:val="00C77299"/>
    <w:rsid w:val="00C80543"/>
    <w:rsid w:val="00C81358"/>
    <w:rsid w:val="00C8388A"/>
    <w:rsid w:val="00C848BC"/>
    <w:rsid w:val="00C854D5"/>
    <w:rsid w:val="00C9075A"/>
    <w:rsid w:val="00C90918"/>
    <w:rsid w:val="00CB3FAE"/>
    <w:rsid w:val="00CB45C2"/>
    <w:rsid w:val="00CB5473"/>
    <w:rsid w:val="00CB655C"/>
    <w:rsid w:val="00CB708C"/>
    <w:rsid w:val="00CC065E"/>
    <w:rsid w:val="00CC31F6"/>
    <w:rsid w:val="00CC3623"/>
    <w:rsid w:val="00CC643F"/>
    <w:rsid w:val="00CD204B"/>
    <w:rsid w:val="00CD2287"/>
    <w:rsid w:val="00CD4373"/>
    <w:rsid w:val="00CE0DD6"/>
    <w:rsid w:val="00CE5132"/>
    <w:rsid w:val="00CF09DF"/>
    <w:rsid w:val="00CF123C"/>
    <w:rsid w:val="00CF2611"/>
    <w:rsid w:val="00D00570"/>
    <w:rsid w:val="00D05223"/>
    <w:rsid w:val="00D0685C"/>
    <w:rsid w:val="00D11F81"/>
    <w:rsid w:val="00D21553"/>
    <w:rsid w:val="00D31FA4"/>
    <w:rsid w:val="00D43E9F"/>
    <w:rsid w:val="00D464ED"/>
    <w:rsid w:val="00D50FF9"/>
    <w:rsid w:val="00D51D87"/>
    <w:rsid w:val="00D51F14"/>
    <w:rsid w:val="00D53AEB"/>
    <w:rsid w:val="00D5628A"/>
    <w:rsid w:val="00D610CE"/>
    <w:rsid w:val="00D643D5"/>
    <w:rsid w:val="00D67C92"/>
    <w:rsid w:val="00D737D2"/>
    <w:rsid w:val="00D74C02"/>
    <w:rsid w:val="00D902B7"/>
    <w:rsid w:val="00D919C3"/>
    <w:rsid w:val="00D94D8D"/>
    <w:rsid w:val="00DA0ADB"/>
    <w:rsid w:val="00DA6125"/>
    <w:rsid w:val="00DA79CA"/>
    <w:rsid w:val="00DB0B0E"/>
    <w:rsid w:val="00DB14CE"/>
    <w:rsid w:val="00DB44FA"/>
    <w:rsid w:val="00DB556A"/>
    <w:rsid w:val="00DB5D20"/>
    <w:rsid w:val="00DC2D3A"/>
    <w:rsid w:val="00DC3C68"/>
    <w:rsid w:val="00DC577F"/>
    <w:rsid w:val="00DC5937"/>
    <w:rsid w:val="00DD2FE7"/>
    <w:rsid w:val="00DD700A"/>
    <w:rsid w:val="00DE2817"/>
    <w:rsid w:val="00DE30EE"/>
    <w:rsid w:val="00DE4561"/>
    <w:rsid w:val="00DE4D45"/>
    <w:rsid w:val="00DE7A2C"/>
    <w:rsid w:val="00DF1B48"/>
    <w:rsid w:val="00DF2EFD"/>
    <w:rsid w:val="00DF584E"/>
    <w:rsid w:val="00DF6276"/>
    <w:rsid w:val="00DF779E"/>
    <w:rsid w:val="00E0219F"/>
    <w:rsid w:val="00E02361"/>
    <w:rsid w:val="00E03FF9"/>
    <w:rsid w:val="00E04E64"/>
    <w:rsid w:val="00E07F94"/>
    <w:rsid w:val="00E12006"/>
    <w:rsid w:val="00E14ACE"/>
    <w:rsid w:val="00E15992"/>
    <w:rsid w:val="00E15B66"/>
    <w:rsid w:val="00E16787"/>
    <w:rsid w:val="00E20263"/>
    <w:rsid w:val="00E20FC8"/>
    <w:rsid w:val="00E22212"/>
    <w:rsid w:val="00E27387"/>
    <w:rsid w:val="00E30094"/>
    <w:rsid w:val="00E36106"/>
    <w:rsid w:val="00E40F91"/>
    <w:rsid w:val="00E416DE"/>
    <w:rsid w:val="00E434A7"/>
    <w:rsid w:val="00E43B1A"/>
    <w:rsid w:val="00E500E8"/>
    <w:rsid w:val="00E507A3"/>
    <w:rsid w:val="00E53A6F"/>
    <w:rsid w:val="00E570FE"/>
    <w:rsid w:val="00E6277D"/>
    <w:rsid w:val="00E65B92"/>
    <w:rsid w:val="00E7530A"/>
    <w:rsid w:val="00E866BB"/>
    <w:rsid w:val="00E87468"/>
    <w:rsid w:val="00E87961"/>
    <w:rsid w:val="00E90307"/>
    <w:rsid w:val="00E90A05"/>
    <w:rsid w:val="00E91B2F"/>
    <w:rsid w:val="00E94227"/>
    <w:rsid w:val="00E97851"/>
    <w:rsid w:val="00EA344C"/>
    <w:rsid w:val="00EB4B4F"/>
    <w:rsid w:val="00EB6ECE"/>
    <w:rsid w:val="00EC0EF6"/>
    <w:rsid w:val="00EC17AC"/>
    <w:rsid w:val="00EC6D08"/>
    <w:rsid w:val="00ED2B14"/>
    <w:rsid w:val="00ED36F8"/>
    <w:rsid w:val="00EE6268"/>
    <w:rsid w:val="00EF0BDA"/>
    <w:rsid w:val="00EF4C5B"/>
    <w:rsid w:val="00EF703D"/>
    <w:rsid w:val="00F102A3"/>
    <w:rsid w:val="00F30DD3"/>
    <w:rsid w:val="00F317B3"/>
    <w:rsid w:val="00F33792"/>
    <w:rsid w:val="00F35C7A"/>
    <w:rsid w:val="00F45E16"/>
    <w:rsid w:val="00F46364"/>
    <w:rsid w:val="00F46654"/>
    <w:rsid w:val="00F46BE7"/>
    <w:rsid w:val="00F51E93"/>
    <w:rsid w:val="00F5461A"/>
    <w:rsid w:val="00F640DB"/>
    <w:rsid w:val="00F66446"/>
    <w:rsid w:val="00F71822"/>
    <w:rsid w:val="00F76DFC"/>
    <w:rsid w:val="00F80A1F"/>
    <w:rsid w:val="00F81D96"/>
    <w:rsid w:val="00F822F5"/>
    <w:rsid w:val="00F83A80"/>
    <w:rsid w:val="00F83CD0"/>
    <w:rsid w:val="00F841DB"/>
    <w:rsid w:val="00F90D4C"/>
    <w:rsid w:val="00F90E1D"/>
    <w:rsid w:val="00FA4F13"/>
    <w:rsid w:val="00FA786D"/>
    <w:rsid w:val="00FA794E"/>
    <w:rsid w:val="00FB12C5"/>
    <w:rsid w:val="00FB4B6D"/>
    <w:rsid w:val="00FC023C"/>
    <w:rsid w:val="00FC64F9"/>
    <w:rsid w:val="00FC7AA4"/>
    <w:rsid w:val="00FD178C"/>
    <w:rsid w:val="00FD3E3F"/>
    <w:rsid w:val="00FE4939"/>
    <w:rsid w:val="00FE5851"/>
    <w:rsid w:val="00FE5AA9"/>
    <w:rsid w:val="00FE5E54"/>
    <w:rsid w:val="00FE6CF3"/>
    <w:rsid w:val="00FE7D2D"/>
    <w:rsid w:val="00FF144C"/>
    <w:rsid w:val="00FF600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68ADE"/>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4A10B9"/>
    <w:rPr>
      <w:sz w:val="16"/>
      <w:szCs w:val="16"/>
    </w:rPr>
  </w:style>
  <w:style w:type="paragraph" w:styleId="CommentText">
    <w:name w:val="annotation text"/>
    <w:basedOn w:val="Normal"/>
    <w:link w:val="CommentTextChar"/>
    <w:uiPriority w:val="99"/>
    <w:unhideWhenUsed/>
    <w:rsid w:val="004A10B9"/>
    <w:pPr>
      <w:spacing w:line="240" w:lineRule="auto"/>
    </w:pPr>
    <w:rPr>
      <w:sz w:val="20"/>
      <w:szCs w:val="25"/>
    </w:rPr>
  </w:style>
  <w:style w:type="character" w:customStyle="1" w:styleId="CommentTextChar">
    <w:name w:val="Comment Text Char"/>
    <w:basedOn w:val="DefaultParagraphFont"/>
    <w:link w:val="CommentText"/>
    <w:uiPriority w:val="99"/>
    <w:rsid w:val="004A10B9"/>
    <w:rPr>
      <w:sz w:val="20"/>
      <w:szCs w:val="25"/>
    </w:rPr>
  </w:style>
  <w:style w:type="paragraph" w:styleId="CommentSubject">
    <w:name w:val="annotation subject"/>
    <w:basedOn w:val="CommentText"/>
    <w:next w:val="CommentText"/>
    <w:link w:val="CommentSubjectChar"/>
    <w:uiPriority w:val="99"/>
    <w:semiHidden/>
    <w:unhideWhenUsed/>
    <w:rsid w:val="004A10B9"/>
    <w:rPr>
      <w:b/>
      <w:bCs/>
    </w:rPr>
  </w:style>
  <w:style w:type="character" w:customStyle="1" w:styleId="CommentSubjectChar">
    <w:name w:val="Comment Subject Char"/>
    <w:basedOn w:val="CommentTextChar"/>
    <w:link w:val="CommentSubject"/>
    <w:uiPriority w:val="99"/>
    <w:semiHidden/>
    <w:rsid w:val="004A10B9"/>
    <w:rPr>
      <w:b/>
      <w:bCs/>
      <w:sz w:val="20"/>
      <w:szCs w:val="25"/>
    </w:rPr>
  </w:style>
  <w:style w:type="paragraph" w:styleId="Revision">
    <w:name w:val="Revision"/>
    <w:hidden/>
    <w:uiPriority w:val="99"/>
    <w:semiHidden/>
    <w:rsid w:val="004A10B9"/>
    <w:pPr>
      <w:spacing w:after="0" w:line="240" w:lineRule="auto"/>
    </w:pPr>
  </w:style>
  <w:style w:type="paragraph" w:styleId="BodyText0">
    <w:name w:val="Body Text"/>
    <w:basedOn w:val="Normal"/>
    <w:link w:val="BodyTextChar"/>
    <w:uiPriority w:val="99"/>
    <w:semiHidden/>
    <w:unhideWhenUsed/>
    <w:rsid w:val="00F46364"/>
    <w:pPr>
      <w:spacing w:after="120" w:line="256" w:lineRule="auto"/>
    </w:pPr>
    <w:rPr>
      <w:rFonts w:ascii="Georgia" w:eastAsia="Arial" w:hAnsi="Georgia" w:cs="Angsana New"/>
      <w:sz w:val="20"/>
      <w:szCs w:val="22"/>
      <w:lang w:val="en-US" w:bidi="ar-SA"/>
    </w:rPr>
  </w:style>
  <w:style w:type="character" w:customStyle="1" w:styleId="BodyTextChar">
    <w:name w:val="Body Text Char"/>
    <w:basedOn w:val="DefaultParagraphFont"/>
    <w:link w:val="BodyText0"/>
    <w:uiPriority w:val="99"/>
    <w:semiHidden/>
    <w:rsid w:val="00F46364"/>
    <w:rPr>
      <w:rFonts w:ascii="Georgia" w:eastAsia="Arial" w:hAnsi="Georgia" w:cs="Angsana New"/>
      <w:sz w:val="20"/>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602606">
      <w:bodyDiv w:val="1"/>
      <w:marLeft w:val="0"/>
      <w:marRight w:val="0"/>
      <w:marTop w:val="0"/>
      <w:marBottom w:val="0"/>
      <w:divBdr>
        <w:top w:val="none" w:sz="0" w:space="0" w:color="auto"/>
        <w:left w:val="none" w:sz="0" w:space="0" w:color="auto"/>
        <w:bottom w:val="none" w:sz="0" w:space="0" w:color="auto"/>
        <w:right w:val="none" w:sz="0" w:space="0" w:color="auto"/>
      </w:divBdr>
    </w:div>
    <w:div w:id="157428416">
      <w:bodyDiv w:val="1"/>
      <w:marLeft w:val="0"/>
      <w:marRight w:val="0"/>
      <w:marTop w:val="0"/>
      <w:marBottom w:val="0"/>
      <w:divBdr>
        <w:top w:val="none" w:sz="0" w:space="0" w:color="auto"/>
        <w:left w:val="none" w:sz="0" w:space="0" w:color="auto"/>
        <w:bottom w:val="none" w:sz="0" w:space="0" w:color="auto"/>
        <w:right w:val="none" w:sz="0" w:space="0" w:color="auto"/>
      </w:divBdr>
    </w:div>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268314746">
      <w:bodyDiv w:val="1"/>
      <w:marLeft w:val="0"/>
      <w:marRight w:val="0"/>
      <w:marTop w:val="0"/>
      <w:marBottom w:val="0"/>
      <w:divBdr>
        <w:top w:val="none" w:sz="0" w:space="0" w:color="auto"/>
        <w:left w:val="none" w:sz="0" w:space="0" w:color="auto"/>
        <w:bottom w:val="none" w:sz="0" w:space="0" w:color="auto"/>
        <w:right w:val="none" w:sz="0" w:space="0" w:color="auto"/>
      </w:divBdr>
    </w:div>
    <w:div w:id="413281219">
      <w:bodyDiv w:val="1"/>
      <w:marLeft w:val="0"/>
      <w:marRight w:val="0"/>
      <w:marTop w:val="0"/>
      <w:marBottom w:val="0"/>
      <w:divBdr>
        <w:top w:val="none" w:sz="0" w:space="0" w:color="auto"/>
        <w:left w:val="none" w:sz="0" w:space="0" w:color="auto"/>
        <w:bottom w:val="none" w:sz="0" w:space="0" w:color="auto"/>
        <w:right w:val="none" w:sz="0" w:space="0" w:color="auto"/>
      </w:divBdr>
    </w:div>
    <w:div w:id="450129742">
      <w:bodyDiv w:val="1"/>
      <w:marLeft w:val="0"/>
      <w:marRight w:val="0"/>
      <w:marTop w:val="0"/>
      <w:marBottom w:val="0"/>
      <w:divBdr>
        <w:top w:val="none" w:sz="0" w:space="0" w:color="auto"/>
        <w:left w:val="none" w:sz="0" w:space="0" w:color="auto"/>
        <w:bottom w:val="none" w:sz="0" w:space="0" w:color="auto"/>
        <w:right w:val="none" w:sz="0" w:space="0" w:color="auto"/>
      </w:divBdr>
    </w:div>
    <w:div w:id="460072713">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580214186">
      <w:bodyDiv w:val="1"/>
      <w:marLeft w:val="0"/>
      <w:marRight w:val="0"/>
      <w:marTop w:val="0"/>
      <w:marBottom w:val="0"/>
      <w:divBdr>
        <w:top w:val="none" w:sz="0" w:space="0" w:color="auto"/>
        <w:left w:val="none" w:sz="0" w:space="0" w:color="auto"/>
        <w:bottom w:val="none" w:sz="0" w:space="0" w:color="auto"/>
        <w:right w:val="none" w:sz="0" w:space="0" w:color="auto"/>
      </w:divBdr>
    </w:div>
    <w:div w:id="598030494">
      <w:bodyDiv w:val="1"/>
      <w:marLeft w:val="0"/>
      <w:marRight w:val="0"/>
      <w:marTop w:val="0"/>
      <w:marBottom w:val="0"/>
      <w:divBdr>
        <w:top w:val="none" w:sz="0" w:space="0" w:color="auto"/>
        <w:left w:val="none" w:sz="0" w:space="0" w:color="auto"/>
        <w:bottom w:val="none" w:sz="0" w:space="0" w:color="auto"/>
        <w:right w:val="none" w:sz="0" w:space="0" w:color="auto"/>
      </w:divBdr>
    </w:div>
    <w:div w:id="601031489">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55130511">
      <w:bodyDiv w:val="1"/>
      <w:marLeft w:val="0"/>
      <w:marRight w:val="0"/>
      <w:marTop w:val="0"/>
      <w:marBottom w:val="0"/>
      <w:divBdr>
        <w:top w:val="none" w:sz="0" w:space="0" w:color="auto"/>
        <w:left w:val="none" w:sz="0" w:space="0" w:color="auto"/>
        <w:bottom w:val="none" w:sz="0" w:space="0" w:color="auto"/>
        <w:right w:val="none" w:sz="0" w:space="0" w:color="auto"/>
      </w:divBdr>
    </w:div>
    <w:div w:id="779686086">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849635954">
      <w:bodyDiv w:val="1"/>
      <w:marLeft w:val="0"/>
      <w:marRight w:val="0"/>
      <w:marTop w:val="0"/>
      <w:marBottom w:val="0"/>
      <w:divBdr>
        <w:top w:val="none" w:sz="0" w:space="0" w:color="auto"/>
        <w:left w:val="none" w:sz="0" w:space="0" w:color="auto"/>
        <w:bottom w:val="none" w:sz="0" w:space="0" w:color="auto"/>
        <w:right w:val="none" w:sz="0" w:space="0" w:color="auto"/>
      </w:divBdr>
    </w:div>
    <w:div w:id="866407051">
      <w:bodyDiv w:val="1"/>
      <w:marLeft w:val="0"/>
      <w:marRight w:val="0"/>
      <w:marTop w:val="0"/>
      <w:marBottom w:val="0"/>
      <w:divBdr>
        <w:top w:val="none" w:sz="0" w:space="0" w:color="auto"/>
        <w:left w:val="none" w:sz="0" w:space="0" w:color="auto"/>
        <w:bottom w:val="none" w:sz="0" w:space="0" w:color="auto"/>
        <w:right w:val="none" w:sz="0" w:space="0" w:color="auto"/>
      </w:divBdr>
    </w:div>
    <w:div w:id="867179548">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071998622">
      <w:bodyDiv w:val="1"/>
      <w:marLeft w:val="0"/>
      <w:marRight w:val="0"/>
      <w:marTop w:val="0"/>
      <w:marBottom w:val="0"/>
      <w:divBdr>
        <w:top w:val="none" w:sz="0" w:space="0" w:color="auto"/>
        <w:left w:val="none" w:sz="0" w:space="0" w:color="auto"/>
        <w:bottom w:val="none" w:sz="0" w:space="0" w:color="auto"/>
        <w:right w:val="none" w:sz="0" w:space="0" w:color="auto"/>
      </w:divBdr>
    </w:div>
    <w:div w:id="1141381852">
      <w:bodyDiv w:val="1"/>
      <w:marLeft w:val="0"/>
      <w:marRight w:val="0"/>
      <w:marTop w:val="0"/>
      <w:marBottom w:val="0"/>
      <w:divBdr>
        <w:top w:val="none" w:sz="0" w:space="0" w:color="auto"/>
        <w:left w:val="none" w:sz="0" w:space="0" w:color="auto"/>
        <w:bottom w:val="none" w:sz="0" w:space="0" w:color="auto"/>
        <w:right w:val="none" w:sz="0" w:space="0" w:color="auto"/>
      </w:divBdr>
    </w:div>
    <w:div w:id="1151412255">
      <w:bodyDiv w:val="1"/>
      <w:marLeft w:val="0"/>
      <w:marRight w:val="0"/>
      <w:marTop w:val="0"/>
      <w:marBottom w:val="0"/>
      <w:divBdr>
        <w:top w:val="none" w:sz="0" w:space="0" w:color="auto"/>
        <w:left w:val="none" w:sz="0" w:space="0" w:color="auto"/>
        <w:bottom w:val="none" w:sz="0" w:space="0" w:color="auto"/>
        <w:right w:val="none" w:sz="0" w:space="0" w:color="auto"/>
      </w:divBdr>
    </w:div>
    <w:div w:id="1276518352">
      <w:bodyDiv w:val="1"/>
      <w:marLeft w:val="0"/>
      <w:marRight w:val="0"/>
      <w:marTop w:val="0"/>
      <w:marBottom w:val="0"/>
      <w:divBdr>
        <w:top w:val="none" w:sz="0" w:space="0" w:color="auto"/>
        <w:left w:val="none" w:sz="0" w:space="0" w:color="auto"/>
        <w:bottom w:val="none" w:sz="0" w:space="0" w:color="auto"/>
        <w:right w:val="none" w:sz="0" w:space="0" w:color="auto"/>
      </w:divBdr>
    </w:div>
    <w:div w:id="1286038511">
      <w:bodyDiv w:val="1"/>
      <w:marLeft w:val="0"/>
      <w:marRight w:val="0"/>
      <w:marTop w:val="0"/>
      <w:marBottom w:val="0"/>
      <w:divBdr>
        <w:top w:val="none" w:sz="0" w:space="0" w:color="auto"/>
        <w:left w:val="none" w:sz="0" w:space="0" w:color="auto"/>
        <w:bottom w:val="none" w:sz="0" w:space="0" w:color="auto"/>
        <w:right w:val="none" w:sz="0" w:space="0" w:color="auto"/>
      </w:divBdr>
    </w:div>
    <w:div w:id="1323318132">
      <w:bodyDiv w:val="1"/>
      <w:marLeft w:val="0"/>
      <w:marRight w:val="0"/>
      <w:marTop w:val="0"/>
      <w:marBottom w:val="0"/>
      <w:divBdr>
        <w:top w:val="none" w:sz="0" w:space="0" w:color="auto"/>
        <w:left w:val="none" w:sz="0" w:space="0" w:color="auto"/>
        <w:bottom w:val="none" w:sz="0" w:space="0" w:color="auto"/>
        <w:right w:val="none" w:sz="0" w:space="0" w:color="auto"/>
      </w:divBdr>
    </w:div>
    <w:div w:id="1391421151">
      <w:bodyDiv w:val="1"/>
      <w:marLeft w:val="0"/>
      <w:marRight w:val="0"/>
      <w:marTop w:val="0"/>
      <w:marBottom w:val="0"/>
      <w:divBdr>
        <w:top w:val="none" w:sz="0" w:space="0" w:color="auto"/>
        <w:left w:val="none" w:sz="0" w:space="0" w:color="auto"/>
        <w:bottom w:val="none" w:sz="0" w:space="0" w:color="auto"/>
        <w:right w:val="none" w:sz="0" w:space="0" w:color="auto"/>
      </w:divBdr>
    </w:div>
    <w:div w:id="1429615182">
      <w:bodyDiv w:val="1"/>
      <w:marLeft w:val="0"/>
      <w:marRight w:val="0"/>
      <w:marTop w:val="0"/>
      <w:marBottom w:val="0"/>
      <w:divBdr>
        <w:top w:val="none" w:sz="0" w:space="0" w:color="auto"/>
        <w:left w:val="none" w:sz="0" w:space="0" w:color="auto"/>
        <w:bottom w:val="none" w:sz="0" w:space="0" w:color="auto"/>
        <w:right w:val="none" w:sz="0" w:space="0" w:color="auto"/>
      </w:divBdr>
    </w:div>
    <w:div w:id="1502349713">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526754074">
      <w:bodyDiv w:val="1"/>
      <w:marLeft w:val="0"/>
      <w:marRight w:val="0"/>
      <w:marTop w:val="0"/>
      <w:marBottom w:val="0"/>
      <w:divBdr>
        <w:top w:val="none" w:sz="0" w:space="0" w:color="auto"/>
        <w:left w:val="none" w:sz="0" w:space="0" w:color="auto"/>
        <w:bottom w:val="none" w:sz="0" w:space="0" w:color="auto"/>
        <w:right w:val="none" w:sz="0" w:space="0" w:color="auto"/>
      </w:divBdr>
    </w:div>
    <w:div w:id="1547449604">
      <w:bodyDiv w:val="1"/>
      <w:marLeft w:val="0"/>
      <w:marRight w:val="0"/>
      <w:marTop w:val="0"/>
      <w:marBottom w:val="0"/>
      <w:divBdr>
        <w:top w:val="none" w:sz="0" w:space="0" w:color="auto"/>
        <w:left w:val="none" w:sz="0" w:space="0" w:color="auto"/>
        <w:bottom w:val="none" w:sz="0" w:space="0" w:color="auto"/>
        <w:right w:val="none" w:sz="0" w:space="0" w:color="auto"/>
      </w:divBdr>
    </w:div>
    <w:div w:id="1680891712">
      <w:bodyDiv w:val="1"/>
      <w:marLeft w:val="0"/>
      <w:marRight w:val="0"/>
      <w:marTop w:val="0"/>
      <w:marBottom w:val="0"/>
      <w:divBdr>
        <w:top w:val="none" w:sz="0" w:space="0" w:color="auto"/>
        <w:left w:val="none" w:sz="0" w:space="0" w:color="auto"/>
        <w:bottom w:val="none" w:sz="0" w:space="0" w:color="auto"/>
        <w:right w:val="none" w:sz="0" w:space="0" w:color="auto"/>
      </w:divBdr>
    </w:div>
    <w:div w:id="1765607616">
      <w:bodyDiv w:val="1"/>
      <w:marLeft w:val="0"/>
      <w:marRight w:val="0"/>
      <w:marTop w:val="0"/>
      <w:marBottom w:val="0"/>
      <w:divBdr>
        <w:top w:val="none" w:sz="0" w:space="0" w:color="auto"/>
        <w:left w:val="none" w:sz="0" w:space="0" w:color="auto"/>
        <w:bottom w:val="none" w:sz="0" w:space="0" w:color="auto"/>
        <w:right w:val="none" w:sz="0" w:space="0" w:color="auto"/>
      </w:divBdr>
    </w:div>
    <w:div w:id="1792942248">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52913104">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1940066388">
      <w:bodyDiv w:val="1"/>
      <w:marLeft w:val="0"/>
      <w:marRight w:val="0"/>
      <w:marTop w:val="0"/>
      <w:marBottom w:val="0"/>
      <w:divBdr>
        <w:top w:val="none" w:sz="0" w:space="0" w:color="auto"/>
        <w:left w:val="none" w:sz="0" w:space="0" w:color="auto"/>
        <w:bottom w:val="none" w:sz="0" w:space="0" w:color="auto"/>
        <w:right w:val="none" w:sz="0" w:space="0" w:color="auto"/>
      </w:divBdr>
    </w:div>
    <w:div w:id="1947535898">
      <w:bodyDiv w:val="1"/>
      <w:marLeft w:val="0"/>
      <w:marRight w:val="0"/>
      <w:marTop w:val="0"/>
      <w:marBottom w:val="0"/>
      <w:divBdr>
        <w:top w:val="none" w:sz="0" w:space="0" w:color="auto"/>
        <w:left w:val="none" w:sz="0" w:space="0" w:color="auto"/>
        <w:bottom w:val="none" w:sz="0" w:space="0" w:color="auto"/>
        <w:right w:val="none" w:sz="0" w:space="0" w:color="auto"/>
      </w:divBdr>
    </w:div>
    <w:div w:id="2006081764">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 w:id="2072268162">
      <w:bodyDiv w:val="1"/>
      <w:marLeft w:val="0"/>
      <w:marRight w:val="0"/>
      <w:marTop w:val="0"/>
      <w:marBottom w:val="0"/>
      <w:divBdr>
        <w:top w:val="none" w:sz="0" w:space="0" w:color="auto"/>
        <w:left w:val="none" w:sz="0" w:space="0" w:color="auto"/>
        <w:bottom w:val="none" w:sz="0" w:space="0" w:color="auto"/>
        <w:right w:val="none" w:sz="0" w:space="0" w:color="auto"/>
      </w:divBdr>
    </w:div>
    <w:div w:id="214010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D3E03-CE89-4BF8-9D05-9DFB2B828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2600</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Wanchaya Ongkhana (TH)</cp:lastModifiedBy>
  <cp:revision>5</cp:revision>
  <cp:lastPrinted>2025-02-28T12:36:00Z</cp:lastPrinted>
  <dcterms:created xsi:type="dcterms:W3CDTF">2025-03-02T14:05:00Z</dcterms:created>
  <dcterms:modified xsi:type="dcterms:W3CDTF">2025-03-02T15:38:00Z</dcterms:modified>
</cp:coreProperties>
</file>